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CA138E" w:rsidTr="00607662">
        <w:tc>
          <w:tcPr>
            <w:tcW w:w="9104" w:type="dxa"/>
          </w:tcPr>
          <w:p w:rsidR="00BD7A40" w:rsidRPr="00CA138E" w:rsidRDefault="00BD7A40" w:rsidP="00BD7A4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1: Identifikace látky/směsi a společnosti/podniku  </w:t>
            </w:r>
          </w:p>
        </w:tc>
      </w:tr>
    </w:tbl>
    <w:p w:rsidR="00BD7A40" w:rsidRPr="00CA138E" w:rsidRDefault="00BD7A40" w:rsidP="00BD7A4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CA138E">
        <w:rPr>
          <w:rFonts w:ascii="Times New Roman" w:hAnsi="Times New Roman" w:cs="Times New Roman"/>
          <w:b/>
        </w:rPr>
        <w:t>1.1</w:t>
      </w:r>
      <w:r w:rsidR="00CE7AAF" w:rsidRPr="00CA138E">
        <w:rPr>
          <w:rFonts w:ascii="Times New Roman" w:hAnsi="Times New Roman" w:cs="Times New Roman"/>
          <w:b/>
        </w:rPr>
        <w:t>.</w:t>
      </w:r>
      <w:r w:rsidRPr="00CA138E">
        <w:rPr>
          <w:rFonts w:ascii="Times New Roman" w:hAnsi="Times New Roman" w:cs="Times New Roman"/>
          <w:b/>
        </w:rPr>
        <w:t xml:space="preserve"> Identifikátor výrobku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0324E2" w:rsidRPr="00CA138E" w:rsidTr="00317948">
        <w:tc>
          <w:tcPr>
            <w:tcW w:w="3261" w:type="dxa"/>
          </w:tcPr>
          <w:p w:rsidR="00BD7A40" w:rsidRPr="00CA138E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Identifikátor výrobku:</w:t>
            </w:r>
          </w:p>
        </w:tc>
        <w:tc>
          <w:tcPr>
            <w:tcW w:w="5811" w:type="dxa"/>
          </w:tcPr>
          <w:p w:rsidR="00BD7A40" w:rsidRPr="00CA138E" w:rsidRDefault="00140BCF" w:rsidP="00140B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b/>
                <w:sz w:val="20"/>
                <w:szCs w:val="20"/>
              </w:rPr>
              <w:t>BIOXY SHIELD</w:t>
            </w:r>
            <w:r w:rsidR="005004C2" w:rsidRPr="00CA13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ACTIVATOR</w:t>
            </w:r>
          </w:p>
        </w:tc>
      </w:tr>
      <w:tr w:rsidR="000324E2" w:rsidRPr="00CA138E" w:rsidTr="00317948">
        <w:tc>
          <w:tcPr>
            <w:tcW w:w="3261" w:type="dxa"/>
          </w:tcPr>
          <w:p w:rsidR="00BD7A40" w:rsidRPr="00CA138E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Další názvy:</w:t>
            </w:r>
          </w:p>
        </w:tc>
        <w:tc>
          <w:tcPr>
            <w:tcW w:w="5811" w:type="dxa"/>
          </w:tcPr>
          <w:p w:rsidR="00BD7A40" w:rsidRPr="00CA138E" w:rsidRDefault="008D43BC" w:rsidP="00586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Neuvedeno </w:t>
            </w:r>
          </w:p>
        </w:tc>
      </w:tr>
      <w:tr w:rsidR="000324E2" w:rsidRPr="00CA138E" w:rsidTr="00317948">
        <w:tc>
          <w:tcPr>
            <w:tcW w:w="3261" w:type="dxa"/>
          </w:tcPr>
          <w:p w:rsidR="00BD7A40" w:rsidRPr="00CA138E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Registrační číslo REACH:</w:t>
            </w:r>
          </w:p>
        </w:tc>
        <w:tc>
          <w:tcPr>
            <w:tcW w:w="5811" w:type="dxa"/>
          </w:tcPr>
          <w:p w:rsidR="00BD7A40" w:rsidRPr="00CA138E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Není aplikováno pro směs </w:t>
            </w:r>
          </w:p>
        </w:tc>
      </w:tr>
    </w:tbl>
    <w:p w:rsidR="00BD7A40" w:rsidRPr="00CA138E" w:rsidRDefault="00BD7A40" w:rsidP="00BD7A4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CA138E">
        <w:rPr>
          <w:rFonts w:ascii="Times New Roman" w:hAnsi="Times New Roman" w:cs="Times New Roman"/>
          <w:b/>
        </w:rPr>
        <w:t>1.2</w:t>
      </w:r>
      <w:r w:rsidR="00CE7AAF" w:rsidRPr="00CA138E">
        <w:rPr>
          <w:rFonts w:ascii="Times New Roman" w:hAnsi="Times New Roman" w:cs="Times New Roman"/>
          <w:b/>
        </w:rPr>
        <w:t>.</w:t>
      </w:r>
      <w:r w:rsidRPr="00CA138E">
        <w:rPr>
          <w:rFonts w:ascii="Times New Roman" w:hAnsi="Times New Roman" w:cs="Times New Roman"/>
          <w:b/>
        </w:rPr>
        <w:t xml:space="preserve"> Příslušná určená použití látky nebo směsi a nedoporučená použití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0324E2" w:rsidRPr="00CA138E" w:rsidTr="00317948">
        <w:tc>
          <w:tcPr>
            <w:tcW w:w="3261" w:type="dxa"/>
          </w:tcPr>
          <w:p w:rsidR="00BD7A40" w:rsidRPr="00CA138E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Určená použití:</w:t>
            </w:r>
          </w:p>
        </w:tc>
        <w:tc>
          <w:tcPr>
            <w:tcW w:w="5811" w:type="dxa"/>
          </w:tcPr>
          <w:p w:rsidR="00CA12FF" w:rsidRPr="00CA138E" w:rsidRDefault="00CA4F57" w:rsidP="004700CC">
            <w:pPr>
              <w:tabs>
                <w:tab w:val="left" w:pos="290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bCs/>
                <w:sz w:val="20"/>
                <w:szCs w:val="20"/>
              </w:rPr>
              <w:t>Biocidní přípravek</w:t>
            </w:r>
            <w:r w:rsidR="008D43BC" w:rsidRPr="00CA138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DD065B" w:rsidRPr="00CA13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A13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Dezinfekce </w:t>
            </w:r>
            <w:r w:rsidR="005004C2" w:rsidRPr="00CA138E">
              <w:rPr>
                <w:rFonts w:ascii="Times New Roman" w:hAnsi="Times New Roman" w:cs="Times New Roman"/>
                <w:bCs/>
                <w:sz w:val="20"/>
                <w:szCs w:val="20"/>
              </w:rPr>
              <w:t>pro vemena dojnic.</w:t>
            </w:r>
          </w:p>
          <w:p w:rsidR="001D53AD" w:rsidRPr="00CA138E" w:rsidRDefault="00882A24" w:rsidP="00CA12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Určeno pro </w:t>
            </w:r>
            <w:r w:rsidR="000C13E0" w:rsidRPr="00CA138E">
              <w:rPr>
                <w:rFonts w:ascii="Times New Roman" w:hAnsi="Times New Roman" w:cs="Times New Roman"/>
                <w:bCs/>
                <w:sz w:val="20"/>
                <w:szCs w:val="20"/>
              </w:rPr>
              <w:t>profesionální</w:t>
            </w:r>
            <w:r w:rsidR="00BD7A40" w:rsidRPr="00CA13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použití.</w:t>
            </w:r>
          </w:p>
        </w:tc>
      </w:tr>
      <w:tr w:rsidR="000324E2" w:rsidRPr="00CA138E" w:rsidTr="00317948">
        <w:tc>
          <w:tcPr>
            <w:tcW w:w="3261" w:type="dxa"/>
          </w:tcPr>
          <w:p w:rsidR="00BD7A40" w:rsidRPr="00CA138E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Nedoporučená použití:</w:t>
            </w:r>
          </w:p>
        </w:tc>
        <w:tc>
          <w:tcPr>
            <w:tcW w:w="5811" w:type="dxa"/>
          </w:tcPr>
          <w:p w:rsidR="00AE029F" w:rsidRPr="00CA138E" w:rsidRDefault="00AE029F" w:rsidP="00BD7A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bCs/>
                <w:sz w:val="20"/>
                <w:szCs w:val="20"/>
              </w:rPr>
              <w:t>Všechny způsoby použití, které nejsou výslovně uvedené na etiketě.</w:t>
            </w:r>
          </w:p>
        </w:tc>
      </w:tr>
    </w:tbl>
    <w:p w:rsidR="00BD7A40" w:rsidRPr="00CA138E" w:rsidRDefault="00BD7A40" w:rsidP="00BD7A4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CA138E">
        <w:rPr>
          <w:rFonts w:ascii="Times New Roman" w:hAnsi="Times New Roman" w:cs="Times New Roman"/>
          <w:b/>
        </w:rPr>
        <w:t>1.3</w:t>
      </w:r>
      <w:r w:rsidR="00CE7AAF" w:rsidRPr="00CA138E">
        <w:rPr>
          <w:rFonts w:ascii="Times New Roman" w:hAnsi="Times New Roman" w:cs="Times New Roman"/>
          <w:b/>
        </w:rPr>
        <w:t>.</w:t>
      </w:r>
      <w:r w:rsidRPr="00CA138E">
        <w:rPr>
          <w:rFonts w:ascii="Times New Roman" w:hAnsi="Times New Roman" w:cs="Times New Roman"/>
          <w:b/>
        </w:rPr>
        <w:t xml:space="preserve"> Podrobné údaje o dodavateli bezpečnostního listu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6401EE" w:rsidRPr="00CA138E" w:rsidTr="00317948">
        <w:tc>
          <w:tcPr>
            <w:tcW w:w="3261" w:type="dxa"/>
          </w:tcPr>
          <w:p w:rsidR="006401EE" w:rsidRPr="00CA138E" w:rsidRDefault="006401EE" w:rsidP="00DD0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Výrobce: </w:t>
            </w:r>
          </w:p>
        </w:tc>
        <w:tc>
          <w:tcPr>
            <w:tcW w:w="5811" w:type="dxa"/>
          </w:tcPr>
          <w:p w:rsidR="006401EE" w:rsidRPr="00CA138E" w:rsidRDefault="008D43BC" w:rsidP="005D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KLARECO S.R.L.</w:t>
            </w:r>
          </w:p>
        </w:tc>
      </w:tr>
      <w:tr w:rsidR="006401EE" w:rsidRPr="00CA138E" w:rsidTr="00317948">
        <w:tc>
          <w:tcPr>
            <w:tcW w:w="3261" w:type="dxa"/>
          </w:tcPr>
          <w:p w:rsidR="006401EE" w:rsidRPr="00CA138E" w:rsidRDefault="006401EE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Adresa: </w:t>
            </w:r>
          </w:p>
        </w:tc>
        <w:tc>
          <w:tcPr>
            <w:tcW w:w="5811" w:type="dxa"/>
          </w:tcPr>
          <w:p w:rsidR="006401EE" w:rsidRPr="00CA138E" w:rsidRDefault="006401EE" w:rsidP="005D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Via </w:t>
            </w:r>
            <w:proofErr w:type="spellStart"/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Bellisario</w:t>
            </w:r>
            <w:proofErr w:type="spellEnd"/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 31, 26020 </w:t>
            </w:r>
            <w:proofErr w:type="spellStart"/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Palazzo</w:t>
            </w:r>
            <w:proofErr w:type="spellEnd"/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Pignano</w:t>
            </w:r>
            <w:proofErr w:type="spellEnd"/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 (CR), Itálie</w:t>
            </w:r>
          </w:p>
        </w:tc>
      </w:tr>
      <w:tr w:rsidR="006401EE" w:rsidRPr="00CA138E" w:rsidTr="00317948">
        <w:tc>
          <w:tcPr>
            <w:tcW w:w="3261" w:type="dxa"/>
          </w:tcPr>
          <w:p w:rsidR="006401EE" w:rsidRPr="00CA138E" w:rsidRDefault="006401EE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Telefon:</w:t>
            </w:r>
          </w:p>
        </w:tc>
        <w:tc>
          <w:tcPr>
            <w:tcW w:w="5811" w:type="dxa"/>
          </w:tcPr>
          <w:p w:rsidR="006401EE" w:rsidRPr="00CA138E" w:rsidRDefault="006401EE" w:rsidP="005D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+39 0373 1974449</w:t>
            </w:r>
          </w:p>
        </w:tc>
      </w:tr>
      <w:tr w:rsidR="006401EE" w:rsidRPr="00CA138E" w:rsidTr="00317948">
        <w:tc>
          <w:tcPr>
            <w:tcW w:w="3261" w:type="dxa"/>
          </w:tcPr>
          <w:p w:rsidR="006401EE" w:rsidRPr="00CA138E" w:rsidRDefault="006401EE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Fax:</w:t>
            </w:r>
          </w:p>
        </w:tc>
        <w:tc>
          <w:tcPr>
            <w:tcW w:w="5811" w:type="dxa"/>
          </w:tcPr>
          <w:p w:rsidR="006401EE" w:rsidRPr="00CA138E" w:rsidRDefault="006401EE" w:rsidP="005D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+39 0373 1972082</w:t>
            </w:r>
          </w:p>
        </w:tc>
      </w:tr>
      <w:tr w:rsidR="006401EE" w:rsidRPr="00CA138E" w:rsidTr="00317948">
        <w:tc>
          <w:tcPr>
            <w:tcW w:w="3261" w:type="dxa"/>
          </w:tcPr>
          <w:p w:rsidR="006401EE" w:rsidRPr="00CA138E" w:rsidRDefault="006401EE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811" w:type="dxa"/>
          </w:tcPr>
          <w:p w:rsidR="006401EE" w:rsidRPr="00CA138E" w:rsidRDefault="008D43BC" w:rsidP="005D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safety@klareco.com</w:t>
            </w:r>
          </w:p>
        </w:tc>
      </w:tr>
      <w:tr w:rsidR="00AD7D65" w:rsidRPr="00CA138E" w:rsidTr="00317948">
        <w:tc>
          <w:tcPr>
            <w:tcW w:w="3261" w:type="dxa"/>
          </w:tcPr>
          <w:p w:rsidR="00AD7D65" w:rsidRPr="006D03A3" w:rsidRDefault="00AD7D65" w:rsidP="00AD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Dodavatel:</w:t>
            </w:r>
          </w:p>
        </w:tc>
        <w:tc>
          <w:tcPr>
            <w:tcW w:w="5811" w:type="dxa"/>
          </w:tcPr>
          <w:p w:rsidR="00AD7D65" w:rsidRPr="006D03A3" w:rsidRDefault="00AD7D65" w:rsidP="00AD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Odra Invest</w:t>
            </w:r>
            <w:r w:rsidRPr="006D0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s.r.o.</w:t>
            </w:r>
          </w:p>
        </w:tc>
      </w:tr>
      <w:tr w:rsidR="00AD7D65" w:rsidRPr="00CA138E" w:rsidTr="00317948">
        <w:tc>
          <w:tcPr>
            <w:tcW w:w="3261" w:type="dxa"/>
          </w:tcPr>
          <w:p w:rsidR="00AD7D65" w:rsidRPr="006D03A3" w:rsidRDefault="00AD7D65" w:rsidP="00AD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Adresa: </w:t>
            </w:r>
          </w:p>
        </w:tc>
        <w:tc>
          <w:tcPr>
            <w:tcW w:w="5811" w:type="dxa"/>
          </w:tcPr>
          <w:p w:rsidR="00AD7D65" w:rsidRPr="006D03A3" w:rsidRDefault="00AD7D65" w:rsidP="00AD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Staroveská 406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739 24 Krmelín</w:t>
            </w:r>
          </w:p>
        </w:tc>
      </w:tr>
      <w:tr w:rsidR="00AD7D65" w:rsidRPr="00CA138E" w:rsidTr="00317948">
        <w:tc>
          <w:tcPr>
            <w:tcW w:w="3261" w:type="dxa"/>
          </w:tcPr>
          <w:p w:rsidR="00AD7D65" w:rsidRPr="006D03A3" w:rsidRDefault="00AD7D65" w:rsidP="00AD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Identifikační číslo:</w:t>
            </w:r>
          </w:p>
        </w:tc>
        <w:tc>
          <w:tcPr>
            <w:tcW w:w="5811" w:type="dxa"/>
          </w:tcPr>
          <w:p w:rsidR="00AD7D65" w:rsidRPr="006D03A3" w:rsidRDefault="00AD7D65" w:rsidP="00AD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26791277</w:t>
            </w:r>
          </w:p>
        </w:tc>
      </w:tr>
      <w:tr w:rsidR="00AD7D65" w:rsidRPr="00CA138E" w:rsidTr="00317948">
        <w:tc>
          <w:tcPr>
            <w:tcW w:w="3261" w:type="dxa"/>
          </w:tcPr>
          <w:p w:rsidR="00AD7D65" w:rsidRPr="006D03A3" w:rsidRDefault="00AD7D65" w:rsidP="00AD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811" w:type="dxa"/>
          </w:tcPr>
          <w:p w:rsidR="00AD7D65" w:rsidRPr="006D03A3" w:rsidRDefault="00AD7D65" w:rsidP="00AD7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odrainvest</w:t>
            </w:r>
            <w:r w:rsidRPr="006D03A3">
              <w:rPr>
                <w:rFonts w:ascii="Times New Roman" w:hAnsi="Times New Roman" w:cs="Times New Roman"/>
                <w:sz w:val="20"/>
                <w:szCs w:val="20"/>
              </w:rPr>
              <w:t>.cz</w:t>
            </w:r>
          </w:p>
        </w:tc>
      </w:tr>
      <w:tr w:rsidR="008D43BC" w:rsidRPr="00CA138E" w:rsidTr="00317948">
        <w:tc>
          <w:tcPr>
            <w:tcW w:w="3261" w:type="dxa"/>
          </w:tcPr>
          <w:p w:rsidR="008D43BC" w:rsidRPr="00CA138E" w:rsidRDefault="008D43BC" w:rsidP="00DD06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e-mail </w:t>
            </w:r>
            <w:r w:rsidRPr="00CA138E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odborně způsobilé osoby</w:t>
            </w:r>
            <w:r w:rsidRPr="00CA13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odpovědné za vypracování </w:t>
            </w:r>
            <w:proofErr w:type="spellStart"/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bezp</w:t>
            </w:r>
            <w:proofErr w:type="spellEnd"/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. listu:</w:t>
            </w:r>
          </w:p>
        </w:tc>
        <w:tc>
          <w:tcPr>
            <w:tcW w:w="5811" w:type="dxa"/>
          </w:tcPr>
          <w:p w:rsidR="008D43BC" w:rsidRPr="00CA138E" w:rsidRDefault="008D43BC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3BC" w:rsidRPr="00CA138E" w:rsidRDefault="008D43BC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info@infobl.cz</w:t>
            </w:r>
          </w:p>
        </w:tc>
      </w:tr>
    </w:tbl>
    <w:p w:rsidR="00BD7A40" w:rsidRPr="00CA138E" w:rsidRDefault="00BD7A40" w:rsidP="003F48AD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CA138E">
        <w:rPr>
          <w:rFonts w:ascii="Times New Roman" w:hAnsi="Times New Roman" w:cs="Times New Roman"/>
          <w:b/>
        </w:rPr>
        <w:t>1.4</w:t>
      </w:r>
      <w:r w:rsidR="00CE7AAF" w:rsidRPr="00CA138E">
        <w:rPr>
          <w:rFonts w:ascii="Times New Roman" w:hAnsi="Times New Roman" w:cs="Times New Roman"/>
          <w:b/>
        </w:rPr>
        <w:t>.</w:t>
      </w:r>
      <w:r w:rsidRPr="00CA138E">
        <w:rPr>
          <w:rFonts w:ascii="Times New Roman" w:hAnsi="Times New Roman" w:cs="Times New Roman"/>
          <w:b/>
        </w:rPr>
        <w:t xml:space="preserve"> Telefonní číslo pro naléhavé situace </w:t>
      </w:r>
    </w:p>
    <w:p w:rsidR="0040090F" w:rsidRPr="00CA138E" w:rsidRDefault="0040090F" w:rsidP="0040090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A138E">
        <w:rPr>
          <w:rFonts w:ascii="Times New Roman" w:hAnsi="Times New Roman" w:cs="Times New Roman"/>
          <w:bCs/>
          <w:sz w:val="20"/>
          <w:szCs w:val="20"/>
        </w:rPr>
        <w:t>Toxikologické informační středisko</w:t>
      </w:r>
    </w:p>
    <w:p w:rsidR="00BD7A40" w:rsidRPr="00CA138E" w:rsidRDefault="0040090F" w:rsidP="0040090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A138E">
        <w:rPr>
          <w:rFonts w:ascii="Times New Roman" w:hAnsi="Times New Roman" w:cs="Times New Roman"/>
          <w:bCs/>
          <w:sz w:val="20"/>
          <w:szCs w:val="20"/>
        </w:rPr>
        <w:t>Klinika pracovního lékařství VFN a 1. LF UK</w:t>
      </w:r>
      <w:r w:rsidR="00BD7A40" w:rsidRPr="00CA138E">
        <w:rPr>
          <w:rFonts w:ascii="Times New Roman" w:hAnsi="Times New Roman" w:cs="Times New Roman"/>
          <w:bCs/>
          <w:sz w:val="20"/>
          <w:szCs w:val="20"/>
        </w:rPr>
        <w:t>, Na Bojišti 1, 12</w:t>
      </w:r>
      <w:r w:rsidRPr="00CA138E">
        <w:rPr>
          <w:rFonts w:ascii="Times New Roman" w:hAnsi="Times New Roman" w:cs="Times New Roman"/>
          <w:bCs/>
          <w:sz w:val="20"/>
          <w:szCs w:val="20"/>
        </w:rPr>
        <w:t>0</w:t>
      </w:r>
      <w:r w:rsidR="00BD7A40" w:rsidRPr="00CA138E">
        <w:rPr>
          <w:rFonts w:ascii="Times New Roman" w:hAnsi="Times New Roman" w:cs="Times New Roman"/>
          <w:bCs/>
          <w:sz w:val="20"/>
          <w:szCs w:val="20"/>
        </w:rPr>
        <w:t xml:space="preserve"> 0</w:t>
      </w:r>
      <w:r w:rsidRPr="00CA138E">
        <w:rPr>
          <w:rFonts w:ascii="Times New Roman" w:hAnsi="Times New Roman" w:cs="Times New Roman"/>
          <w:bCs/>
          <w:sz w:val="20"/>
          <w:szCs w:val="20"/>
        </w:rPr>
        <w:t>0</w:t>
      </w:r>
      <w:r w:rsidR="00BD7A40" w:rsidRPr="00CA138E">
        <w:rPr>
          <w:rFonts w:ascii="Times New Roman" w:hAnsi="Times New Roman" w:cs="Times New Roman"/>
          <w:bCs/>
          <w:sz w:val="20"/>
          <w:szCs w:val="20"/>
        </w:rPr>
        <w:t xml:space="preserve"> Praha 2, CZ</w:t>
      </w:r>
    </w:p>
    <w:p w:rsidR="003F48AD" w:rsidRPr="00CA138E" w:rsidRDefault="003F48AD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A138E">
        <w:rPr>
          <w:rFonts w:ascii="Times New Roman" w:hAnsi="Times New Roman" w:cs="Times New Roman"/>
          <w:b/>
          <w:sz w:val="20"/>
          <w:szCs w:val="20"/>
        </w:rPr>
        <w:t>+420 224</w:t>
      </w:r>
      <w:r w:rsidR="0040090F" w:rsidRPr="00CA138E">
        <w:rPr>
          <w:rFonts w:ascii="Times New Roman" w:hAnsi="Times New Roman" w:cs="Times New Roman"/>
          <w:b/>
          <w:sz w:val="20"/>
          <w:szCs w:val="20"/>
        </w:rPr>
        <w:t> </w:t>
      </w:r>
      <w:r w:rsidRPr="00CA138E">
        <w:rPr>
          <w:rFonts w:ascii="Times New Roman" w:hAnsi="Times New Roman" w:cs="Times New Roman"/>
          <w:b/>
          <w:sz w:val="20"/>
          <w:szCs w:val="20"/>
        </w:rPr>
        <w:t>919</w:t>
      </w:r>
      <w:r w:rsidR="0040090F" w:rsidRPr="00CA138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A138E">
        <w:rPr>
          <w:rFonts w:ascii="Times New Roman" w:hAnsi="Times New Roman" w:cs="Times New Roman"/>
          <w:b/>
          <w:sz w:val="20"/>
          <w:szCs w:val="20"/>
        </w:rPr>
        <w:t>293; 224</w:t>
      </w:r>
      <w:r w:rsidR="0040090F" w:rsidRPr="00CA138E">
        <w:rPr>
          <w:rFonts w:ascii="Times New Roman" w:hAnsi="Times New Roman" w:cs="Times New Roman"/>
          <w:b/>
          <w:sz w:val="20"/>
          <w:szCs w:val="20"/>
        </w:rPr>
        <w:t> </w:t>
      </w:r>
      <w:r w:rsidRPr="00CA138E">
        <w:rPr>
          <w:rFonts w:ascii="Times New Roman" w:hAnsi="Times New Roman" w:cs="Times New Roman"/>
          <w:b/>
          <w:sz w:val="20"/>
          <w:szCs w:val="20"/>
        </w:rPr>
        <w:t>915</w:t>
      </w:r>
      <w:r w:rsidR="0040090F" w:rsidRPr="00CA138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A138E">
        <w:rPr>
          <w:rFonts w:ascii="Times New Roman" w:hAnsi="Times New Roman" w:cs="Times New Roman"/>
          <w:b/>
          <w:sz w:val="20"/>
          <w:szCs w:val="20"/>
        </w:rPr>
        <w:t xml:space="preserve">402 (nepřetržitá služba) </w:t>
      </w:r>
    </w:p>
    <w:p w:rsidR="002A23B3" w:rsidRPr="00CA138E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CA138E" w:rsidTr="00607662">
        <w:tc>
          <w:tcPr>
            <w:tcW w:w="9104" w:type="dxa"/>
          </w:tcPr>
          <w:p w:rsidR="00BD7A40" w:rsidRPr="00CA138E" w:rsidRDefault="00BD7A40" w:rsidP="002A23B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8E">
              <w:rPr>
                <w:rFonts w:ascii="Times New Roman" w:hAnsi="Times New Roman" w:cs="Times New Roman"/>
                <w:b/>
                <w:sz w:val="24"/>
                <w:szCs w:val="24"/>
              </w:rPr>
              <w:t>ODDÍL 2: Identifikace nebezpečnosti</w:t>
            </w:r>
          </w:p>
        </w:tc>
      </w:tr>
    </w:tbl>
    <w:p w:rsidR="00BD7A40" w:rsidRPr="00CA138E" w:rsidRDefault="00BD7A40" w:rsidP="003F48AD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CA138E">
        <w:rPr>
          <w:rFonts w:ascii="Times New Roman" w:hAnsi="Times New Roman" w:cs="Times New Roman"/>
          <w:b/>
        </w:rPr>
        <w:t>2.1</w:t>
      </w:r>
      <w:r w:rsidR="00CE7AAF" w:rsidRPr="00CA138E">
        <w:rPr>
          <w:rFonts w:ascii="Times New Roman" w:hAnsi="Times New Roman" w:cs="Times New Roman"/>
          <w:b/>
        </w:rPr>
        <w:t>.</w:t>
      </w:r>
      <w:r w:rsidR="002A23B3" w:rsidRPr="00CA138E">
        <w:rPr>
          <w:rFonts w:ascii="Times New Roman" w:hAnsi="Times New Roman" w:cs="Times New Roman"/>
          <w:b/>
        </w:rPr>
        <w:t xml:space="preserve"> </w:t>
      </w:r>
      <w:r w:rsidRPr="00CA138E">
        <w:rPr>
          <w:rFonts w:ascii="Times New Roman" w:hAnsi="Times New Roman" w:cs="Times New Roman"/>
          <w:b/>
        </w:rPr>
        <w:t>K</w:t>
      </w:r>
      <w:r w:rsidRPr="00CA138E">
        <w:rPr>
          <w:rFonts w:ascii="Times New Roman" w:hAnsi="Times New Roman" w:cs="Times New Roman"/>
          <w:b/>
          <w:bCs/>
        </w:rPr>
        <w:t xml:space="preserve">lasifikace látky nebo směsi </w:t>
      </w:r>
    </w:p>
    <w:p w:rsidR="005233EB" w:rsidRPr="00CA138E" w:rsidRDefault="005233EB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Klasifikace ve smyslu nařízení (ES) č. 1272/2008</w:t>
      </w:r>
    </w:p>
    <w:p w:rsidR="005004C2" w:rsidRPr="00CA138E" w:rsidRDefault="005004C2" w:rsidP="005004C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A138E">
        <w:rPr>
          <w:rFonts w:ascii="Times New Roman" w:hAnsi="Times New Roman" w:cs="Times New Roman"/>
          <w:b/>
          <w:bCs/>
          <w:sz w:val="20"/>
          <w:szCs w:val="20"/>
        </w:rPr>
        <w:t xml:space="preserve">Skin </w:t>
      </w:r>
      <w:proofErr w:type="spellStart"/>
      <w:r w:rsidRPr="00CA138E">
        <w:rPr>
          <w:rFonts w:ascii="Times New Roman" w:hAnsi="Times New Roman" w:cs="Times New Roman"/>
          <w:b/>
          <w:bCs/>
          <w:sz w:val="20"/>
          <w:szCs w:val="20"/>
        </w:rPr>
        <w:t>Corr</w:t>
      </w:r>
      <w:proofErr w:type="spellEnd"/>
      <w:r w:rsidRPr="00CA138E">
        <w:rPr>
          <w:rFonts w:ascii="Times New Roman" w:hAnsi="Times New Roman" w:cs="Times New Roman"/>
          <w:b/>
          <w:bCs/>
          <w:sz w:val="20"/>
          <w:szCs w:val="20"/>
        </w:rPr>
        <w:t>. 1B; H314</w:t>
      </w:r>
    </w:p>
    <w:p w:rsidR="005004C2" w:rsidRPr="00CA138E" w:rsidRDefault="005004C2" w:rsidP="005004C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CA138E">
        <w:rPr>
          <w:rFonts w:ascii="Times New Roman" w:hAnsi="Times New Roman" w:cs="Times New Roman"/>
          <w:b/>
          <w:bCs/>
          <w:sz w:val="20"/>
          <w:szCs w:val="20"/>
        </w:rPr>
        <w:t>Eye</w:t>
      </w:r>
      <w:proofErr w:type="spellEnd"/>
      <w:r w:rsidRPr="00CA138E">
        <w:rPr>
          <w:rFonts w:ascii="Times New Roman" w:hAnsi="Times New Roman" w:cs="Times New Roman"/>
          <w:b/>
          <w:bCs/>
          <w:sz w:val="20"/>
          <w:szCs w:val="20"/>
        </w:rPr>
        <w:t xml:space="preserve"> Dam. 1; H318</w:t>
      </w: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A138E">
        <w:rPr>
          <w:rFonts w:ascii="Times New Roman" w:hAnsi="Times New Roman" w:cs="Times New Roman"/>
          <w:bCs/>
          <w:sz w:val="20"/>
          <w:szCs w:val="20"/>
        </w:rPr>
        <w:t xml:space="preserve">Směs </w:t>
      </w:r>
      <w:r w:rsidR="005004C2" w:rsidRPr="00CA138E">
        <w:rPr>
          <w:rFonts w:ascii="Times New Roman" w:hAnsi="Times New Roman" w:cs="Times New Roman"/>
          <w:bCs/>
          <w:sz w:val="20"/>
          <w:szCs w:val="20"/>
        </w:rPr>
        <w:t xml:space="preserve">je </w:t>
      </w:r>
      <w:r w:rsidRPr="00CA138E">
        <w:rPr>
          <w:rFonts w:ascii="Times New Roman" w:hAnsi="Times New Roman" w:cs="Times New Roman"/>
          <w:bCs/>
          <w:sz w:val="20"/>
          <w:szCs w:val="20"/>
        </w:rPr>
        <w:t>klasifikována jako nebezpečná ve smyslu nařízení (ES) č. 1272/2008</w:t>
      </w:r>
    </w:p>
    <w:p w:rsidR="00BD7A40" w:rsidRPr="00CA138E" w:rsidRDefault="00BD7A40" w:rsidP="000416AF">
      <w:pPr>
        <w:spacing w:before="6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A138E">
        <w:rPr>
          <w:rFonts w:ascii="Times New Roman" w:hAnsi="Times New Roman" w:cs="Times New Roman"/>
          <w:b/>
          <w:bCs/>
          <w:sz w:val="20"/>
          <w:szCs w:val="20"/>
        </w:rPr>
        <w:t>Nejzávažnější nepříznivé fyzikální účinky a účinky na lidské zdraví a životní prostředí</w:t>
      </w:r>
    </w:p>
    <w:p w:rsidR="00876255" w:rsidRPr="00CA138E" w:rsidRDefault="00876255" w:rsidP="00585D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Uvolňuje vysoce toxický plyn při styku s kyselinami.</w:t>
      </w:r>
    </w:p>
    <w:p w:rsidR="005004C2" w:rsidRPr="00CA138E" w:rsidRDefault="005004C2" w:rsidP="00585D3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Způsobuje těžké poleptání kůže a poškození očí. Způsobuje vážné poškození očí.</w:t>
      </w:r>
    </w:p>
    <w:p w:rsidR="005004C2" w:rsidRPr="00CA138E" w:rsidRDefault="005004C2" w:rsidP="005004C2">
      <w:pPr>
        <w:spacing w:before="120"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A138E">
        <w:rPr>
          <w:rFonts w:ascii="Times New Roman" w:hAnsi="Times New Roman" w:cs="Times New Roman"/>
          <w:bCs/>
          <w:sz w:val="20"/>
          <w:szCs w:val="20"/>
        </w:rPr>
        <w:t>Plný text všech klasifikací a standardních vět o nebezpečnosti je uveden v oddíle 16.</w:t>
      </w:r>
    </w:p>
    <w:p w:rsidR="00BD7A40" w:rsidRPr="00CA138E" w:rsidRDefault="00BD7A40" w:rsidP="003F48AD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CA138E">
        <w:rPr>
          <w:rFonts w:ascii="Times New Roman" w:hAnsi="Times New Roman" w:cs="Times New Roman"/>
          <w:b/>
          <w:bCs/>
        </w:rPr>
        <w:t>2.2</w:t>
      </w:r>
      <w:r w:rsidR="00CE7AAF" w:rsidRPr="00CA138E">
        <w:rPr>
          <w:rFonts w:ascii="Times New Roman" w:hAnsi="Times New Roman" w:cs="Times New Roman"/>
          <w:b/>
          <w:bCs/>
        </w:rPr>
        <w:t>.</w:t>
      </w:r>
      <w:r w:rsidR="002A23B3" w:rsidRPr="00CA138E">
        <w:rPr>
          <w:rFonts w:ascii="Times New Roman" w:hAnsi="Times New Roman" w:cs="Times New Roman"/>
          <w:b/>
          <w:bCs/>
        </w:rPr>
        <w:t xml:space="preserve"> </w:t>
      </w:r>
      <w:r w:rsidRPr="00CA138E">
        <w:rPr>
          <w:rFonts w:ascii="Times New Roman" w:hAnsi="Times New Roman" w:cs="Times New Roman"/>
          <w:b/>
          <w:bCs/>
        </w:rPr>
        <w:t>Prvky označení</w:t>
      </w: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A138E">
        <w:rPr>
          <w:rFonts w:ascii="Times New Roman" w:hAnsi="Times New Roman" w:cs="Times New Roman"/>
          <w:bCs/>
          <w:sz w:val="20"/>
          <w:szCs w:val="20"/>
        </w:rPr>
        <w:t xml:space="preserve">Označení </w:t>
      </w:r>
      <w:r w:rsidRPr="00CA138E">
        <w:rPr>
          <w:rFonts w:ascii="Times New Roman" w:hAnsi="Times New Roman" w:cs="Times New Roman"/>
          <w:sz w:val="20"/>
          <w:szCs w:val="20"/>
        </w:rPr>
        <w:t>ve smyslu nařízení (ES) č. 1272/2008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7"/>
        <w:gridCol w:w="6012"/>
      </w:tblGrid>
      <w:tr w:rsidR="000324E2" w:rsidRPr="00CA138E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A40" w:rsidRPr="00CA138E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Identifikátor výrobku: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BD7A40" w:rsidRPr="00CA138E" w:rsidRDefault="005004C2" w:rsidP="003F7D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BIOXY </w:t>
            </w:r>
            <w:r w:rsidR="00140BCF" w:rsidRPr="00CA138E">
              <w:rPr>
                <w:rFonts w:ascii="Times New Roman" w:hAnsi="Times New Roman" w:cs="Times New Roman"/>
                <w:sz w:val="20"/>
                <w:szCs w:val="20"/>
              </w:rPr>
              <w:t>SHIELD</w:t>
            </w: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 ACTIVATOR</w:t>
            </w:r>
          </w:p>
        </w:tc>
      </w:tr>
      <w:tr w:rsidR="000324E2" w:rsidRPr="00CA138E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A40" w:rsidRPr="00CA138E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Identifikační číslo</w:t>
            </w:r>
            <w:r w:rsidR="003F48AD" w:rsidRPr="00CA13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BD7A40" w:rsidRPr="00CA138E" w:rsidRDefault="00D81A2D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chloritan sodný</w:t>
            </w:r>
          </w:p>
        </w:tc>
      </w:tr>
      <w:tr w:rsidR="005004C2" w:rsidRPr="00CA138E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04C2" w:rsidRPr="00CA138E" w:rsidRDefault="005004C2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Výstražný symbol nebezpečnosti: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5004C2" w:rsidRPr="00CA138E" w:rsidRDefault="005004C2" w:rsidP="005004C2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547794CB" wp14:editId="0A941D25">
                  <wp:extent cx="838200" cy="838200"/>
                  <wp:effectExtent l="0" t="0" r="0" b="0"/>
                  <wp:docPr id="10" name="Obrázek 10" descr="acid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cid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04C2" w:rsidRPr="00CA138E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04C2" w:rsidRPr="00CA138E" w:rsidRDefault="005004C2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Signální slovo: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5004C2" w:rsidRPr="00CA138E" w:rsidRDefault="005004C2" w:rsidP="005004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Nebezpečí </w:t>
            </w:r>
          </w:p>
        </w:tc>
      </w:tr>
      <w:tr w:rsidR="000324E2" w:rsidRPr="00CA138E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A40" w:rsidRPr="00CA138E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Standardní věty o nebezpečnosti: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5004C2" w:rsidRPr="00CA138E" w:rsidRDefault="005004C2" w:rsidP="00500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H314 Způsobuje těžké poleptání kůže a poškození očí.</w:t>
            </w:r>
          </w:p>
          <w:p w:rsidR="00BD7A40" w:rsidRPr="00CA138E" w:rsidRDefault="005004C2" w:rsidP="00BD7A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bCs/>
                <w:sz w:val="20"/>
                <w:szCs w:val="20"/>
              </w:rPr>
              <w:t>EUH032</w:t>
            </w: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 Uvolňuje vysoce toxický plyn při styku s kyselinami.</w:t>
            </w:r>
          </w:p>
        </w:tc>
      </w:tr>
      <w:tr w:rsidR="000324E2" w:rsidRPr="00CA138E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A40" w:rsidRPr="00CA138E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Pokyny pro bezpečné zacházení: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140BCF" w:rsidRPr="00CA138E" w:rsidRDefault="00140BCF" w:rsidP="005004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bCs/>
                <w:sz w:val="20"/>
                <w:szCs w:val="20"/>
              </w:rPr>
              <w:t>P102</w:t>
            </w: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 Uchovávejte mimo dosah dětí.</w:t>
            </w:r>
          </w:p>
          <w:p w:rsidR="00140BCF" w:rsidRPr="00CA138E" w:rsidRDefault="00140BCF" w:rsidP="005004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bCs/>
                <w:sz w:val="20"/>
                <w:szCs w:val="20"/>
              </w:rPr>
              <w:t>P235</w:t>
            </w: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 Uchovávejte v chladu.</w:t>
            </w:r>
          </w:p>
          <w:p w:rsidR="005004C2" w:rsidRPr="00CA138E" w:rsidRDefault="005004C2" w:rsidP="00500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P260</w:t>
            </w: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 Nevdechujte páry.</w:t>
            </w:r>
          </w:p>
          <w:p w:rsidR="005004C2" w:rsidRPr="00CA138E" w:rsidRDefault="005004C2" w:rsidP="005004C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bCs/>
                <w:sz w:val="20"/>
                <w:szCs w:val="20"/>
              </w:rPr>
              <w:t>P280</w:t>
            </w: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 Používejte ochranné rukavice/ochranné brýle/obličejový štít.</w:t>
            </w:r>
          </w:p>
          <w:p w:rsidR="005004C2" w:rsidRPr="00CA138E" w:rsidRDefault="005004C2" w:rsidP="00500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P305 + P351 + P338 PŘI ZASAŽENÍ OČÍ: Několik minut opatrně vyplachujte vodou. Vyjměte kontaktní čočky, jsou-li nasazeny a pokud je lze vyjmout snadno. Pokračujte ve vyplachování.</w:t>
            </w:r>
          </w:p>
          <w:p w:rsidR="00140BCF" w:rsidRPr="00CA138E" w:rsidRDefault="00140BCF" w:rsidP="00500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P314 Necítíte-li se dobře, vyhledejte lékařskou pomoc/ošetření.</w:t>
            </w:r>
          </w:p>
          <w:p w:rsidR="005004C2" w:rsidRPr="00CA138E" w:rsidRDefault="00140BCF" w:rsidP="005004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P410 Chraňte před slunečním zářením.</w:t>
            </w:r>
          </w:p>
        </w:tc>
      </w:tr>
      <w:tr w:rsidR="00140BCF" w:rsidRPr="00CA138E" w:rsidTr="000416A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BCF" w:rsidRPr="00CA138E" w:rsidRDefault="00140BCF" w:rsidP="0014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Doplňující informace na štítku: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140BCF" w:rsidRPr="00CA138E" w:rsidRDefault="00140BCF" w:rsidP="008D43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140BCF" w:rsidRPr="00CA138E" w:rsidTr="00140BCF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BCF" w:rsidRPr="00CA138E" w:rsidRDefault="00140BCF" w:rsidP="0014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Doplňující informace na štítku podle nařízení Rady (ES) č. 648/2004 o detergentech: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:rsidR="00140BCF" w:rsidRPr="00CA138E" w:rsidRDefault="00140BCF" w:rsidP="00140B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38E">
              <w:rPr>
                <w:rFonts w:ascii="Times New Roman" w:eastAsia="HelveticaNeue-Regular" w:hAnsi="Times New Roman" w:cs="Times New Roman"/>
                <w:bCs/>
                <w:sz w:val="20"/>
                <w:szCs w:val="20"/>
              </w:rPr>
              <w:t xml:space="preserve">méně než 5 % </w:t>
            </w:r>
            <w:r w:rsidRPr="00CA138E">
              <w:rPr>
                <w:rFonts w:ascii="Times New Roman" w:eastAsia="Calibri" w:hAnsi="Times New Roman" w:cs="Times New Roman"/>
                <w:sz w:val="20"/>
                <w:szCs w:val="20"/>
              </w:rPr>
              <w:t>neiontové povrchově aktivní látky.</w:t>
            </w:r>
          </w:p>
        </w:tc>
      </w:tr>
    </w:tbl>
    <w:p w:rsidR="00BD7A40" w:rsidRPr="00CA138E" w:rsidRDefault="00BD7A40" w:rsidP="003F48AD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CA138E">
        <w:rPr>
          <w:rFonts w:ascii="Times New Roman" w:hAnsi="Times New Roman" w:cs="Times New Roman"/>
          <w:b/>
          <w:bCs/>
        </w:rPr>
        <w:t>2.3</w:t>
      </w:r>
      <w:r w:rsidR="00CE7AAF" w:rsidRPr="00CA138E">
        <w:rPr>
          <w:rFonts w:ascii="Times New Roman" w:hAnsi="Times New Roman" w:cs="Times New Roman"/>
          <w:b/>
          <w:bCs/>
        </w:rPr>
        <w:t>.</w:t>
      </w:r>
      <w:r w:rsidRPr="00CA138E">
        <w:rPr>
          <w:rFonts w:ascii="Times New Roman" w:hAnsi="Times New Roman" w:cs="Times New Roman"/>
          <w:b/>
          <w:bCs/>
        </w:rPr>
        <w:t xml:space="preserve"> Další nebezpečnost</w:t>
      </w:r>
    </w:p>
    <w:p w:rsidR="008D43BC" w:rsidRPr="00CA138E" w:rsidRDefault="008D43BC" w:rsidP="000724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 xml:space="preserve">Na základě dostupných údajů produkt neobsahuje látky PBT, </w:t>
      </w:r>
      <w:proofErr w:type="spellStart"/>
      <w:r w:rsidRPr="00CA138E">
        <w:rPr>
          <w:rFonts w:ascii="Times New Roman" w:hAnsi="Times New Roman" w:cs="Times New Roman"/>
          <w:sz w:val="20"/>
          <w:szCs w:val="20"/>
        </w:rPr>
        <w:t>vPvB</w:t>
      </w:r>
      <w:proofErr w:type="spellEnd"/>
      <w:r w:rsidRPr="00CA138E">
        <w:rPr>
          <w:rFonts w:ascii="Times New Roman" w:hAnsi="Times New Roman" w:cs="Times New Roman"/>
          <w:sz w:val="20"/>
          <w:szCs w:val="20"/>
        </w:rPr>
        <w:t xml:space="preserve"> nebo </w:t>
      </w:r>
      <w:r w:rsidRPr="00CA138E">
        <w:rPr>
          <w:rStyle w:val="q4iawc"/>
          <w:rFonts w:ascii="Times New Roman" w:hAnsi="Times New Roman" w:cs="Times New Roman"/>
          <w:sz w:val="20"/>
          <w:szCs w:val="20"/>
        </w:rPr>
        <w:t xml:space="preserve">látky s vlastnostmi narušujícími endokrinní systém </w:t>
      </w:r>
      <w:r w:rsidRPr="00CA138E">
        <w:rPr>
          <w:rFonts w:ascii="Times New Roman" w:hAnsi="Times New Roman" w:cs="Times New Roman"/>
          <w:sz w:val="20"/>
          <w:szCs w:val="20"/>
        </w:rPr>
        <w:t xml:space="preserve">v koncentraci ≥ 0,1 % hm. </w:t>
      </w:r>
    </w:p>
    <w:p w:rsidR="002A23B3" w:rsidRPr="00CA138E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CA138E" w:rsidTr="00607662">
        <w:tc>
          <w:tcPr>
            <w:tcW w:w="9104" w:type="dxa"/>
          </w:tcPr>
          <w:p w:rsidR="002A23B3" w:rsidRPr="00CA138E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3: Složení/informace o složkách </w:t>
            </w:r>
          </w:p>
        </w:tc>
      </w:tr>
    </w:tbl>
    <w:p w:rsidR="00BD7A40" w:rsidRPr="00CA138E" w:rsidRDefault="00BD7A40" w:rsidP="003F48AD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CA138E">
        <w:rPr>
          <w:rFonts w:ascii="Times New Roman" w:hAnsi="Times New Roman" w:cs="Times New Roman"/>
          <w:b/>
          <w:bCs/>
        </w:rPr>
        <w:t>3.1</w:t>
      </w:r>
      <w:r w:rsidR="00CE7AAF" w:rsidRPr="00CA138E">
        <w:rPr>
          <w:rFonts w:ascii="Times New Roman" w:hAnsi="Times New Roman" w:cs="Times New Roman"/>
          <w:b/>
          <w:bCs/>
        </w:rPr>
        <w:t>.</w:t>
      </w:r>
      <w:r w:rsidR="006F2E1F" w:rsidRPr="00CA138E">
        <w:rPr>
          <w:rFonts w:ascii="Times New Roman" w:hAnsi="Times New Roman" w:cs="Times New Roman"/>
          <w:b/>
          <w:bCs/>
        </w:rPr>
        <w:t xml:space="preserve"> </w:t>
      </w:r>
      <w:r w:rsidRPr="00CA138E">
        <w:rPr>
          <w:rFonts w:ascii="Times New Roman" w:hAnsi="Times New Roman" w:cs="Times New Roman"/>
          <w:b/>
          <w:bCs/>
        </w:rPr>
        <w:t xml:space="preserve">Látky </w:t>
      </w: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Produkt je směsí více látek.</w:t>
      </w:r>
    </w:p>
    <w:p w:rsidR="00BD7A40" w:rsidRPr="00CA138E" w:rsidRDefault="00BD7A40" w:rsidP="003F48AD">
      <w:pPr>
        <w:spacing w:before="120" w:after="0" w:line="240" w:lineRule="auto"/>
        <w:rPr>
          <w:rFonts w:ascii="Times New Roman" w:hAnsi="Times New Roman" w:cs="Times New Roman"/>
          <w:b/>
          <w:iCs/>
        </w:rPr>
      </w:pPr>
      <w:r w:rsidRPr="00CA138E">
        <w:rPr>
          <w:rFonts w:ascii="Times New Roman" w:hAnsi="Times New Roman" w:cs="Times New Roman"/>
          <w:b/>
          <w:iCs/>
        </w:rPr>
        <w:t>3.2</w:t>
      </w:r>
      <w:r w:rsidR="00CE7AAF" w:rsidRPr="00CA138E">
        <w:rPr>
          <w:rFonts w:ascii="Times New Roman" w:hAnsi="Times New Roman" w:cs="Times New Roman"/>
          <w:b/>
          <w:iCs/>
        </w:rPr>
        <w:t>.</w:t>
      </w:r>
      <w:r w:rsidR="006F2E1F" w:rsidRPr="00CA138E">
        <w:rPr>
          <w:rFonts w:ascii="Times New Roman" w:hAnsi="Times New Roman" w:cs="Times New Roman"/>
          <w:b/>
          <w:iCs/>
        </w:rPr>
        <w:t xml:space="preserve"> </w:t>
      </w:r>
      <w:r w:rsidRPr="00CA138E">
        <w:rPr>
          <w:rFonts w:ascii="Times New Roman" w:hAnsi="Times New Roman" w:cs="Times New Roman"/>
          <w:b/>
          <w:iCs/>
        </w:rPr>
        <w:t>Směsi</w:t>
      </w:r>
    </w:p>
    <w:p w:rsidR="002B0F38" w:rsidRPr="00CA138E" w:rsidRDefault="002B0F38" w:rsidP="002B0F38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CA138E">
        <w:rPr>
          <w:rFonts w:ascii="Times New Roman" w:hAnsi="Times New Roman" w:cs="Times New Roman"/>
          <w:iCs/>
          <w:sz w:val="20"/>
          <w:szCs w:val="20"/>
        </w:rPr>
        <w:t xml:space="preserve">Směs níže uvedených látek a příměsí, které nejsou nebezpečné.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329"/>
        <w:gridCol w:w="1540"/>
        <w:gridCol w:w="3084"/>
      </w:tblGrid>
      <w:tr w:rsidR="00CA138E" w:rsidRPr="00CA138E" w:rsidTr="002B0F38">
        <w:tc>
          <w:tcPr>
            <w:tcW w:w="3119" w:type="dxa"/>
            <w:vAlign w:val="center"/>
          </w:tcPr>
          <w:p w:rsidR="002B0F38" w:rsidRPr="00CA138E" w:rsidRDefault="002B0F38" w:rsidP="002B0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Identifikátor výrobku</w:t>
            </w:r>
          </w:p>
          <w:p w:rsidR="002B0F38" w:rsidRPr="00CA138E" w:rsidRDefault="002B0F38" w:rsidP="002B0F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(č. REACH)</w:t>
            </w:r>
          </w:p>
        </w:tc>
        <w:tc>
          <w:tcPr>
            <w:tcW w:w="1329" w:type="dxa"/>
            <w:vAlign w:val="center"/>
          </w:tcPr>
          <w:p w:rsidR="002B0F38" w:rsidRPr="00CA138E" w:rsidRDefault="002B0F38" w:rsidP="005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Koncentrace</w:t>
            </w:r>
          </w:p>
          <w:p w:rsidR="002B0F38" w:rsidRPr="00CA138E" w:rsidRDefault="002B0F38" w:rsidP="005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(% hm.)</w:t>
            </w:r>
          </w:p>
        </w:tc>
        <w:tc>
          <w:tcPr>
            <w:tcW w:w="1540" w:type="dxa"/>
            <w:vAlign w:val="center"/>
          </w:tcPr>
          <w:p w:rsidR="002B0F38" w:rsidRPr="00CA138E" w:rsidRDefault="002B0F38" w:rsidP="005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Indexové číslo</w:t>
            </w:r>
          </w:p>
          <w:p w:rsidR="002B0F38" w:rsidRPr="00CA138E" w:rsidRDefault="002B0F38" w:rsidP="005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Číslo CAS</w:t>
            </w:r>
          </w:p>
          <w:p w:rsidR="002B0F38" w:rsidRPr="00CA138E" w:rsidRDefault="002B0F38" w:rsidP="005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Číslo ES</w:t>
            </w:r>
          </w:p>
        </w:tc>
        <w:tc>
          <w:tcPr>
            <w:tcW w:w="3084" w:type="dxa"/>
            <w:vAlign w:val="center"/>
          </w:tcPr>
          <w:p w:rsidR="002B0F38" w:rsidRPr="00CA138E" w:rsidRDefault="002B0F38" w:rsidP="005D7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Klasifikace podle nařízení (ES) č. 1272/2008</w:t>
            </w:r>
          </w:p>
        </w:tc>
      </w:tr>
      <w:tr w:rsidR="00CA138E" w:rsidRPr="00CA138E" w:rsidTr="002B0F38">
        <w:tc>
          <w:tcPr>
            <w:tcW w:w="3119" w:type="dxa"/>
            <w:vAlign w:val="center"/>
          </w:tcPr>
          <w:p w:rsidR="00D81A2D" w:rsidRPr="00CA138E" w:rsidRDefault="00876255" w:rsidP="00C10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D81A2D"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hloritan sodný </w:t>
            </w:r>
          </w:p>
          <w:p w:rsidR="00C10E2D" w:rsidRPr="00CA138E" w:rsidRDefault="00C10E2D" w:rsidP="00C10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(01-2119529240-51-XXXX)</w:t>
            </w:r>
          </w:p>
        </w:tc>
        <w:tc>
          <w:tcPr>
            <w:tcW w:w="1329" w:type="dxa"/>
            <w:vAlign w:val="center"/>
          </w:tcPr>
          <w:p w:rsidR="005004C2" w:rsidRPr="00CA138E" w:rsidRDefault="004700CC" w:rsidP="00E27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0,2 – &lt; 0,</w:t>
            </w:r>
            <w:r w:rsidR="00E273BE" w:rsidRPr="00CA13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0" w:type="dxa"/>
            <w:vAlign w:val="center"/>
          </w:tcPr>
          <w:p w:rsidR="005004C2" w:rsidRPr="00CA138E" w:rsidRDefault="00D81A2D" w:rsidP="002B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10E2D" w:rsidRPr="00CA138E" w:rsidRDefault="00C10E2D" w:rsidP="002B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7758-19-2</w:t>
            </w:r>
          </w:p>
          <w:p w:rsidR="00C10E2D" w:rsidRPr="00CA138E" w:rsidRDefault="00C10E2D" w:rsidP="002B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231-836-6</w:t>
            </w:r>
          </w:p>
        </w:tc>
        <w:tc>
          <w:tcPr>
            <w:tcW w:w="3084" w:type="dxa"/>
            <w:vAlign w:val="center"/>
          </w:tcPr>
          <w:p w:rsidR="00C10E2D" w:rsidRPr="00CA138E" w:rsidRDefault="00C10E2D" w:rsidP="002B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Ox</w:t>
            </w:r>
            <w:proofErr w:type="spellEnd"/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81A2D" w:rsidRPr="00CA138E">
              <w:rPr>
                <w:rFonts w:ascii="Times New Roman" w:hAnsi="Times New Roman" w:cs="Times New Roman"/>
                <w:sz w:val="20"/>
                <w:szCs w:val="20"/>
              </w:rPr>
              <w:t>Sol</w:t>
            </w: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 w:rsidR="0034050A" w:rsidRPr="00CA138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 H271 </w:t>
            </w:r>
          </w:p>
          <w:p w:rsidR="00C10E2D" w:rsidRPr="00CA138E" w:rsidRDefault="00C10E2D" w:rsidP="002B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Acute</w:t>
            </w:r>
            <w:proofErr w:type="spellEnd"/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Tox</w:t>
            </w:r>
            <w:proofErr w:type="spellEnd"/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  <w:r w:rsidR="0034050A" w:rsidRPr="00CA138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 H301 </w:t>
            </w:r>
          </w:p>
          <w:p w:rsidR="00D81A2D" w:rsidRPr="00CA138E" w:rsidRDefault="00D81A2D" w:rsidP="00D81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Acute</w:t>
            </w:r>
            <w:proofErr w:type="spellEnd"/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Tox</w:t>
            </w:r>
            <w:proofErr w:type="spellEnd"/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. 2; H310 </w:t>
            </w:r>
          </w:p>
          <w:p w:rsidR="00C10E2D" w:rsidRPr="00CA138E" w:rsidRDefault="00C10E2D" w:rsidP="002B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Skin </w:t>
            </w:r>
            <w:proofErr w:type="spellStart"/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Corr</w:t>
            </w:r>
            <w:proofErr w:type="spellEnd"/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. 1B</w:t>
            </w:r>
            <w:r w:rsidR="0034050A" w:rsidRPr="00CA138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 H314 </w:t>
            </w:r>
          </w:p>
          <w:p w:rsidR="00C10E2D" w:rsidRPr="00CA138E" w:rsidRDefault="00C10E2D" w:rsidP="002B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Eye</w:t>
            </w:r>
            <w:proofErr w:type="spellEnd"/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 Dam. 1</w:t>
            </w:r>
            <w:r w:rsidR="0034050A" w:rsidRPr="00CA138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 H318</w:t>
            </w:r>
          </w:p>
          <w:p w:rsidR="00C10E2D" w:rsidRPr="00CA138E" w:rsidRDefault="00C10E2D" w:rsidP="00C10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STOT RE 2</w:t>
            </w:r>
            <w:r w:rsidR="0034050A" w:rsidRPr="00CA138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 H373 </w:t>
            </w:r>
          </w:p>
          <w:p w:rsidR="00C10E2D" w:rsidRPr="00CA138E" w:rsidRDefault="00C10E2D" w:rsidP="002B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Aquatic</w:t>
            </w:r>
            <w:proofErr w:type="spellEnd"/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Acute</w:t>
            </w:r>
            <w:proofErr w:type="spellEnd"/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34050A" w:rsidRPr="00CA138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 H400 </w:t>
            </w:r>
          </w:p>
          <w:p w:rsidR="00C10E2D" w:rsidRPr="00CA138E" w:rsidRDefault="00C10E2D" w:rsidP="002B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4050A"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34050A"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10E2D" w:rsidRPr="00CA138E" w:rsidRDefault="00C10E2D" w:rsidP="002B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Aquatic</w:t>
            </w:r>
            <w:proofErr w:type="spellEnd"/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Chronic</w:t>
            </w:r>
            <w:proofErr w:type="spellEnd"/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34050A" w:rsidRPr="00CA138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 H412</w:t>
            </w:r>
          </w:p>
          <w:p w:rsidR="005004C2" w:rsidRPr="00CA138E" w:rsidRDefault="00C10E2D" w:rsidP="002B0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EUH032</w:t>
            </w:r>
          </w:p>
          <w:p w:rsidR="005004C2" w:rsidRPr="00CA138E" w:rsidRDefault="00D81A2D" w:rsidP="00D81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EUH071</w:t>
            </w:r>
          </w:p>
        </w:tc>
      </w:tr>
    </w:tbl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CA138E" w:rsidTr="00607662">
        <w:tc>
          <w:tcPr>
            <w:tcW w:w="9104" w:type="dxa"/>
          </w:tcPr>
          <w:p w:rsidR="002A23B3" w:rsidRPr="00CA138E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4: Pokyny pro první pomoc </w:t>
            </w:r>
          </w:p>
        </w:tc>
      </w:tr>
    </w:tbl>
    <w:p w:rsidR="00BD7A40" w:rsidRPr="00CA138E" w:rsidRDefault="00BD7A40" w:rsidP="00A560F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CA138E">
        <w:rPr>
          <w:rFonts w:ascii="Times New Roman" w:hAnsi="Times New Roman" w:cs="Times New Roman"/>
          <w:b/>
        </w:rPr>
        <w:t>4.1</w:t>
      </w:r>
      <w:r w:rsidR="00CE7AAF" w:rsidRPr="00CA138E">
        <w:rPr>
          <w:rFonts w:ascii="Times New Roman" w:hAnsi="Times New Roman" w:cs="Times New Roman"/>
          <w:b/>
        </w:rPr>
        <w:t>.</w:t>
      </w:r>
      <w:r w:rsidR="006F2E1F" w:rsidRPr="00CA138E">
        <w:rPr>
          <w:rFonts w:ascii="Times New Roman" w:hAnsi="Times New Roman" w:cs="Times New Roman"/>
          <w:b/>
        </w:rPr>
        <w:t xml:space="preserve"> </w:t>
      </w:r>
      <w:r w:rsidRPr="00CA138E">
        <w:rPr>
          <w:rFonts w:ascii="Times New Roman" w:hAnsi="Times New Roman" w:cs="Times New Roman"/>
          <w:b/>
        </w:rPr>
        <w:t>Popis první pomoci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6B64A6" w:rsidRPr="00CA138E" w:rsidTr="006B64A6">
        <w:tc>
          <w:tcPr>
            <w:tcW w:w="2127" w:type="dxa"/>
          </w:tcPr>
          <w:p w:rsidR="006B64A6" w:rsidRPr="00CA138E" w:rsidRDefault="006B64A6" w:rsidP="00BD7A4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CA138E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Všeobecné pokyny:</w:t>
            </w:r>
          </w:p>
        </w:tc>
        <w:tc>
          <w:tcPr>
            <w:tcW w:w="6945" w:type="dxa"/>
          </w:tcPr>
          <w:p w:rsidR="006B64A6" w:rsidRPr="00CA138E" w:rsidRDefault="006B64A6" w:rsidP="0014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Dbejte na vlastní bezpečnost. Projeví-li se zdravotní potíže nebo v případě pochybností, uvědomte lékaře a poskytněte mu informace z tohoto bezpečnostního listu. </w:t>
            </w:r>
          </w:p>
        </w:tc>
      </w:tr>
      <w:tr w:rsidR="006B64A6" w:rsidRPr="00CA138E" w:rsidTr="006B64A6">
        <w:tc>
          <w:tcPr>
            <w:tcW w:w="2127" w:type="dxa"/>
          </w:tcPr>
          <w:p w:rsidR="006B64A6" w:rsidRPr="00CA138E" w:rsidRDefault="006B64A6" w:rsidP="00BD7A4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CA138E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Vdechnutí:</w:t>
            </w:r>
          </w:p>
        </w:tc>
        <w:tc>
          <w:tcPr>
            <w:tcW w:w="6945" w:type="dxa"/>
          </w:tcPr>
          <w:p w:rsidR="006B64A6" w:rsidRPr="00CA138E" w:rsidRDefault="006B64A6" w:rsidP="0014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Přerušte expozici, přesuňte postiženého na čerstvý vzduch. Při stavech ohrožujících život nejdříve provádějte resuscitaci postiženého a zajistěte lékařskou pomoc. Zástava dechu – okamžitě provádějte umělé dýchání. </w:t>
            </w:r>
          </w:p>
          <w:p w:rsidR="006B64A6" w:rsidRPr="00CA138E" w:rsidRDefault="006B64A6" w:rsidP="0014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Zástava srdce – okamžitě provádějte nepřímou masáž srdce.</w:t>
            </w:r>
          </w:p>
        </w:tc>
      </w:tr>
      <w:tr w:rsidR="006B64A6" w:rsidRPr="00CA138E" w:rsidTr="006B64A6">
        <w:tc>
          <w:tcPr>
            <w:tcW w:w="2127" w:type="dxa"/>
          </w:tcPr>
          <w:p w:rsidR="006B64A6" w:rsidRPr="00CA138E" w:rsidRDefault="006B64A6" w:rsidP="00BD7A4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CA138E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Styk s kůží:</w:t>
            </w:r>
          </w:p>
        </w:tc>
        <w:tc>
          <w:tcPr>
            <w:tcW w:w="6945" w:type="dxa"/>
          </w:tcPr>
          <w:p w:rsidR="006B64A6" w:rsidRPr="00CA138E" w:rsidRDefault="006B64A6" w:rsidP="00140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Odložte potřísněný oděv. Omyjte postižené místo velkým množstvím, pokud možno, vlažné vody. Okamžitě vyhledejte lékařskou pomoc/ošetření. Znečištěný oděv před dalším použitím vyperte. </w:t>
            </w:r>
          </w:p>
        </w:tc>
      </w:tr>
      <w:tr w:rsidR="006B64A6" w:rsidRPr="00CA138E" w:rsidTr="006B64A6">
        <w:tc>
          <w:tcPr>
            <w:tcW w:w="2127" w:type="dxa"/>
          </w:tcPr>
          <w:p w:rsidR="006B64A6" w:rsidRPr="00CA138E" w:rsidRDefault="006B64A6" w:rsidP="00BD7A4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CA138E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Styk s okem:</w:t>
            </w:r>
          </w:p>
        </w:tc>
        <w:tc>
          <w:tcPr>
            <w:tcW w:w="6945" w:type="dxa"/>
          </w:tcPr>
          <w:p w:rsidR="006B64A6" w:rsidRPr="00CA138E" w:rsidRDefault="006B64A6" w:rsidP="00D13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Okamžitě vyplachovat široce otevřené oči proudem tekoucí vlažné vody alespoň </w:t>
            </w:r>
            <w:r w:rsidR="00D130DB" w:rsidRPr="00CA138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 minut, rozevřete oční víčka (třeba i násilím); pokud má postižený kontaktní čočky, neprodleně je vyjměte. Okamžitě vyhledejte lékařskou pomoc/ošetření.</w:t>
            </w:r>
          </w:p>
        </w:tc>
      </w:tr>
    </w:tbl>
    <w:p w:rsidR="00D130DB" w:rsidRPr="00CA138E" w:rsidRDefault="00D130DB"/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6B64A6" w:rsidRPr="00CA138E" w:rsidTr="006B64A6">
        <w:tc>
          <w:tcPr>
            <w:tcW w:w="2127" w:type="dxa"/>
          </w:tcPr>
          <w:p w:rsidR="006B64A6" w:rsidRPr="00CA138E" w:rsidRDefault="006B64A6" w:rsidP="00BD7A4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CA138E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Požití:</w:t>
            </w:r>
          </w:p>
        </w:tc>
        <w:tc>
          <w:tcPr>
            <w:tcW w:w="6945" w:type="dxa"/>
          </w:tcPr>
          <w:p w:rsidR="006B64A6" w:rsidRPr="00CA138E" w:rsidRDefault="00D130DB" w:rsidP="00D130D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Vypláchněte ústa vodou a dejte vypít 2 – 5 dl vody. Nevyvolávejte zvracení. </w:t>
            </w:r>
            <w:r w:rsidR="006B64A6" w:rsidRPr="00CA13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Okamžitě vyhledejte lékařskou pomoc/ošetření. Neprovádějte nic bez pokynu </w:t>
            </w:r>
            <w:r w:rsidR="006B64A6" w:rsidRPr="00CA13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lékaře. </w:t>
            </w:r>
          </w:p>
        </w:tc>
      </w:tr>
    </w:tbl>
    <w:p w:rsidR="00BD7A40" w:rsidRPr="00CA138E" w:rsidRDefault="00BD7A40" w:rsidP="00A560F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CA138E">
        <w:rPr>
          <w:rFonts w:ascii="Times New Roman" w:hAnsi="Times New Roman" w:cs="Times New Roman"/>
          <w:b/>
        </w:rPr>
        <w:lastRenderedPageBreak/>
        <w:t>4.2</w:t>
      </w:r>
      <w:r w:rsidR="00CE7AAF" w:rsidRPr="00CA138E">
        <w:rPr>
          <w:rFonts w:ascii="Times New Roman" w:hAnsi="Times New Roman" w:cs="Times New Roman"/>
          <w:b/>
        </w:rPr>
        <w:t>.</w:t>
      </w:r>
      <w:r w:rsidR="006F2E1F" w:rsidRPr="00CA138E">
        <w:rPr>
          <w:rFonts w:ascii="Times New Roman" w:hAnsi="Times New Roman" w:cs="Times New Roman"/>
          <w:b/>
        </w:rPr>
        <w:t xml:space="preserve"> </w:t>
      </w:r>
      <w:r w:rsidRPr="00CA138E">
        <w:rPr>
          <w:rFonts w:ascii="Times New Roman" w:hAnsi="Times New Roman" w:cs="Times New Roman"/>
          <w:b/>
        </w:rPr>
        <w:t>Nejdůležitější akutní a opožděné symptomy a účinky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4A5008" w:rsidRPr="00CA138E" w:rsidTr="00140BCF">
        <w:tc>
          <w:tcPr>
            <w:tcW w:w="2127" w:type="dxa"/>
          </w:tcPr>
          <w:p w:rsidR="004A5008" w:rsidRPr="00CA138E" w:rsidRDefault="004A5008" w:rsidP="00140BC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CA138E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Stykem s kůží:</w:t>
            </w:r>
          </w:p>
        </w:tc>
        <w:tc>
          <w:tcPr>
            <w:tcW w:w="6945" w:type="dxa"/>
          </w:tcPr>
          <w:p w:rsidR="004A5008" w:rsidRPr="00CA138E" w:rsidRDefault="004A5008" w:rsidP="00140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Způsobuje těžké poleptání kůže.</w:t>
            </w:r>
          </w:p>
        </w:tc>
      </w:tr>
      <w:tr w:rsidR="004A5008" w:rsidRPr="00CA138E" w:rsidTr="00140BCF">
        <w:tc>
          <w:tcPr>
            <w:tcW w:w="2127" w:type="dxa"/>
          </w:tcPr>
          <w:p w:rsidR="004A5008" w:rsidRPr="00CA138E" w:rsidRDefault="004A5008" w:rsidP="00140BC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CA138E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Stykem s očima:</w:t>
            </w:r>
          </w:p>
        </w:tc>
        <w:tc>
          <w:tcPr>
            <w:tcW w:w="6945" w:type="dxa"/>
          </w:tcPr>
          <w:p w:rsidR="004A5008" w:rsidRPr="00CA138E" w:rsidRDefault="004A5008" w:rsidP="0014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Způsobuje vážné poškození očí.</w:t>
            </w:r>
          </w:p>
        </w:tc>
      </w:tr>
      <w:tr w:rsidR="004A5008" w:rsidRPr="00CA138E" w:rsidTr="00140BCF">
        <w:tc>
          <w:tcPr>
            <w:tcW w:w="2127" w:type="dxa"/>
          </w:tcPr>
          <w:p w:rsidR="004A5008" w:rsidRPr="00CA138E" w:rsidRDefault="004A5008" w:rsidP="00140BC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CA138E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>Požitím:</w:t>
            </w:r>
            <w:r w:rsidRPr="00CA138E"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  <w:tab/>
            </w:r>
          </w:p>
        </w:tc>
        <w:tc>
          <w:tcPr>
            <w:tcW w:w="6945" w:type="dxa"/>
          </w:tcPr>
          <w:p w:rsidR="004A5008" w:rsidRPr="00CA138E" w:rsidRDefault="004A5008" w:rsidP="00140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Způsobuje poleptání úst, hrdla a trávicího traktu.</w:t>
            </w:r>
          </w:p>
        </w:tc>
      </w:tr>
    </w:tbl>
    <w:p w:rsidR="004A5008" w:rsidRPr="00CA138E" w:rsidRDefault="004A5008" w:rsidP="004A5008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CA138E">
        <w:rPr>
          <w:rFonts w:ascii="Times New Roman" w:hAnsi="Times New Roman" w:cs="Times New Roman"/>
          <w:b/>
        </w:rPr>
        <w:t>4.3. Pokyn týkající se okamžité lékařské pomoci a zvláštního ošetření</w:t>
      </w:r>
    </w:p>
    <w:p w:rsidR="004A5008" w:rsidRPr="00CA138E" w:rsidRDefault="004A5008" w:rsidP="004A50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 xml:space="preserve">Poznámky pro lékaře: léčit podle symptomů. </w:t>
      </w:r>
    </w:p>
    <w:p w:rsidR="002A23B3" w:rsidRPr="00CA138E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CA138E" w:rsidTr="00607662">
        <w:tc>
          <w:tcPr>
            <w:tcW w:w="9104" w:type="dxa"/>
          </w:tcPr>
          <w:p w:rsidR="002A23B3" w:rsidRPr="00CA138E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8E">
              <w:rPr>
                <w:rFonts w:ascii="Times New Roman" w:hAnsi="Times New Roman" w:cs="Times New Roman"/>
                <w:b/>
                <w:sz w:val="24"/>
                <w:szCs w:val="24"/>
              </w:rPr>
              <w:t>ODDÍL 5: Opatření pro hašení požáru</w:t>
            </w:r>
          </w:p>
        </w:tc>
      </w:tr>
    </w:tbl>
    <w:p w:rsidR="00BD7A40" w:rsidRPr="00CA138E" w:rsidRDefault="00BD7A40" w:rsidP="00A560F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CA138E">
        <w:rPr>
          <w:rFonts w:ascii="Times New Roman" w:hAnsi="Times New Roman" w:cs="Times New Roman"/>
          <w:b/>
        </w:rPr>
        <w:t>5.1</w:t>
      </w:r>
      <w:r w:rsidR="00CE7AAF" w:rsidRPr="00CA138E">
        <w:rPr>
          <w:rFonts w:ascii="Times New Roman" w:hAnsi="Times New Roman" w:cs="Times New Roman"/>
          <w:b/>
        </w:rPr>
        <w:t>.</w:t>
      </w:r>
      <w:r w:rsidR="006F2E1F" w:rsidRPr="00CA138E">
        <w:rPr>
          <w:rFonts w:ascii="Times New Roman" w:hAnsi="Times New Roman" w:cs="Times New Roman"/>
          <w:b/>
        </w:rPr>
        <w:t xml:space="preserve"> </w:t>
      </w:r>
      <w:r w:rsidRPr="00CA138E">
        <w:rPr>
          <w:rFonts w:ascii="Times New Roman" w:hAnsi="Times New Roman" w:cs="Times New Roman"/>
          <w:b/>
        </w:rPr>
        <w:t>Hasiva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0324E2" w:rsidRPr="00CA138E" w:rsidTr="00317948">
        <w:tc>
          <w:tcPr>
            <w:tcW w:w="2127" w:type="dxa"/>
          </w:tcPr>
          <w:p w:rsidR="000F0FD8" w:rsidRPr="00CA138E" w:rsidRDefault="000F0FD8" w:rsidP="00AA766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u w:val="single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Vhodná hasiva:</w:t>
            </w:r>
          </w:p>
        </w:tc>
        <w:tc>
          <w:tcPr>
            <w:tcW w:w="6945" w:type="dxa"/>
          </w:tcPr>
          <w:p w:rsidR="000F0FD8" w:rsidRPr="00CA138E" w:rsidRDefault="00D17C86" w:rsidP="00AA7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Oxid uhličitý, pěna, hasicí prášek, </w:t>
            </w:r>
            <w:r w:rsidR="004A6BB9" w:rsidRPr="00CA138E">
              <w:rPr>
                <w:rFonts w:ascii="Times New Roman" w:hAnsi="Times New Roman" w:cs="Times New Roman"/>
                <w:sz w:val="20"/>
                <w:szCs w:val="20"/>
              </w:rPr>
              <w:t>tříštěný proud vody.</w:t>
            </w:r>
          </w:p>
        </w:tc>
      </w:tr>
      <w:tr w:rsidR="000324E2" w:rsidRPr="00CA138E" w:rsidTr="00317948">
        <w:tc>
          <w:tcPr>
            <w:tcW w:w="2127" w:type="dxa"/>
          </w:tcPr>
          <w:p w:rsidR="000F0FD8" w:rsidRPr="00CA138E" w:rsidRDefault="000F0FD8" w:rsidP="00AA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Nevhodná hasiva:</w:t>
            </w:r>
          </w:p>
        </w:tc>
        <w:tc>
          <w:tcPr>
            <w:tcW w:w="6945" w:type="dxa"/>
          </w:tcPr>
          <w:p w:rsidR="000F0FD8" w:rsidRPr="00CA138E" w:rsidRDefault="00D17C86" w:rsidP="00AA76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Žádné konkrétní.</w:t>
            </w:r>
          </w:p>
        </w:tc>
      </w:tr>
    </w:tbl>
    <w:p w:rsidR="00BD7A40" w:rsidRPr="00CA138E" w:rsidRDefault="00BD7A40" w:rsidP="00A560F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CA138E">
        <w:rPr>
          <w:rFonts w:ascii="Times New Roman" w:hAnsi="Times New Roman" w:cs="Times New Roman"/>
          <w:b/>
        </w:rPr>
        <w:t>5.2</w:t>
      </w:r>
      <w:r w:rsidR="00CE7AAF" w:rsidRPr="00CA138E">
        <w:rPr>
          <w:rFonts w:ascii="Times New Roman" w:hAnsi="Times New Roman" w:cs="Times New Roman"/>
          <w:b/>
        </w:rPr>
        <w:t>.</w:t>
      </w:r>
      <w:r w:rsidR="006F2E1F" w:rsidRPr="00CA138E">
        <w:rPr>
          <w:rFonts w:ascii="Times New Roman" w:hAnsi="Times New Roman" w:cs="Times New Roman"/>
          <w:b/>
        </w:rPr>
        <w:t xml:space="preserve"> </w:t>
      </w:r>
      <w:r w:rsidRPr="00CA138E">
        <w:rPr>
          <w:rFonts w:ascii="Times New Roman" w:hAnsi="Times New Roman" w:cs="Times New Roman"/>
          <w:b/>
        </w:rPr>
        <w:t>Zvláštní nebezpečnost vyplývající z látky nebo směsi</w:t>
      </w:r>
    </w:p>
    <w:p w:rsidR="00BD7A40" w:rsidRPr="00CA138E" w:rsidRDefault="004A6BB9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Nebezpečí způsobené expozicí v případě požáru: nevdechovat spaliny.</w:t>
      </w:r>
      <w:r w:rsidR="004A5008" w:rsidRPr="00CA138E">
        <w:rPr>
          <w:rFonts w:ascii="Times New Roman" w:hAnsi="Times New Roman" w:cs="Times New Roman"/>
          <w:sz w:val="20"/>
          <w:szCs w:val="20"/>
        </w:rPr>
        <w:t xml:space="preserve"> Může se uvolnit chlor a oxidy chloru.</w:t>
      </w:r>
    </w:p>
    <w:p w:rsidR="00BD7A40" w:rsidRPr="00CA138E" w:rsidRDefault="00BD7A40" w:rsidP="00A560F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CA138E">
        <w:rPr>
          <w:rFonts w:ascii="Times New Roman" w:hAnsi="Times New Roman" w:cs="Times New Roman"/>
          <w:b/>
        </w:rPr>
        <w:t>5.3</w:t>
      </w:r>
      <w:r w:rsidR="00CE7AAF" w:rsidRPr="00CA138E">
        <w:rPr>
          <w:rFonts w:ascii="Times New Roman" w:hAnsi="Times New Roman" w:cs="Times New Roman"/>
          <w:b/>
        </w:rPr>
        <w:t>.</w:t>
      </w:r>
      <w:r w:rsidR="006F2E1F" w:rsidRPr="00CA138E">
        <w:rPr>
          <w:rFonts w:ascii="Times New Roman" w:hAnsi="Times New Roman" w:cs="Times New Roman"/>
          <w:b/>
        </w:rPr>
        <w:t xml:space="preserve"> </w:t>
      </w:r>
      <w:r w:rsidRPr="00CA138E">
        <w:rPr>
          <w:rFonts w:ascii="Times New Roman" w:hAnsi="Times New Roman" w:cs="Times New Roman"/>
          <w:b/>
        </w:rPr>
        <w:t>Pokyny pro hasiče</w:t>
      </w:r>
    </w:p>
    <w:p w:rsidR="004A6BB9" w:rsidRPr="00CA138E" w:rsidRDefault="004A6BB9" w:rsidP="004A6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K chlazení nádob vystavených ohni používat vodní postřik, aby se předešlo prasknutí nádob a uvolnění nebezpečných produktů rozkladu. Znečištěnou vodu použitou k hašení zachytávat odděleně. Nesmí být vypouštěna do žádného vodního toku, splaškové nebo srážkové kanalizace.</w:t>
      </w:r>
    </w:p>
    <w:p w:rsidR="004A6BB9" w:rsidRPr="00CA138E" w:rsidRDefault="004A6BB9" w:rsidP="004A6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A138E">
        <w:rPr>
          <w:rFonts w:ascii="Times New Roman" w:hAnsi="Times New Roman" w:cs="Times New Roman"/>
          <w:b/>
          <w:bCs/>
          <w:sz w:val="20"/>
          <w:szCs w:val="20"/>
        </w:rPr>
        <w:t>Speciální ochranné prostředky pro hasiče:</w:t>
      </w:r>
    </w:p>
    <w:p w:rsidR="004A6BB9" w:rsidRPr="00CA138E" w:rsidRDefault="004A6BB9" w:rsidP="004A6B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 xml:space="preserve">Používat běžnou protipožární ochranu: tj. oděv (EN 469), rukavice (EN 659), obuv (HO specifikace A26 a A30), přetlakový dýchací přístroj se stlačeným vzduchem (EN 137). </w:t>
      </w:r>
    </w:p>
    <w:p w:rsidR="002A23B3" w:rsidRPr="00CA138E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CA138E" w:rsidTr="00607662">
        <w:tc>
          <w:tcPr>
            <w:tcW w:w="9104" w:type="dxa"/>
          </w:tcPr>
          <w:p w:rsidR="002A23B3" w:rsidRPr="00CA138E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8E">
              <w:rPr>
                <w:rFonts w:ascii="Times New Roman" w:hAnsi="Times New Roman" w:cs="Times New Roman"/>
                <w:b/>
                <w:sz w:val="24"/>
                <w:szCs w:val="24"/>
              </w:rPr>
              <w:t>ODDÍL 6: Opatření v případě náhodného úniku</w:t>
            </w:r>
          </w:p>
        </w:tc>
      </w:tr>
    </w:tbl>
    <w:p w:rsidR="00BD7A40" w:rsidRPr="00CA138E" w:rsidRDefault="00BD7A40" w:rsidP="002A619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CA138E">
        <w:rPr>
          <w:rFonts w:ascii="Times New Roman" w:hAnsi="Times New Roman" w:cs="Times New Roman"/>
          <w:b/>
        </w:rPr>
        <w:t>6.1</w:t>
      </w:r>
      <w:r w:rsidR="00CE7AAF" w:rsidRPr="00CA138E">
        <w:rPr>
          <w:rFonts w:ascii="Times New Roman" w:hAnsi="Times New Roman" w:cs="Times New Roman"/>
          <w:b/>
        </w:rPr>
        <w:t>.</w:t>
      </w:r>
      <w:r w:rsidR="006F2E1F" w:rsidRPr="00CA138E">
        <w:rPr>
          <w:rFonts w:ascii="Times New Roman" w:hAnsi="Times New Roman" w:cs="Times New Roman"/>
          <w:b/>
        </w:rPr>
        <w:t xml:space="preserve"> </w:t>
      </w:r>
      <w:r w:rsidRPr="00CA138E">
        <w:rPr>
          <w:rFonts w:ascii="Times New Roman" w:hAnsi="Times New Roman" w:cs="Times New Roman"/>
          <w:b/>
        </w:rPr>
        <w:t>Opatření na ochranu osob, ochranné prostředky a nouzové postupy</w:t>
      </w:r>
    </w:p>
    <w:p w:rsidR="00DE29AB" w:rsidRPr="00CA138E" w:rsidRDefault="005D73F3" w:rsidP="005F13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138E">
        <w:rPr>
          <w:rStyle w:val="jlqj4b"/>
          <w:rFonts w:ascii="Times New Roman" w:hAnsi="Times New Roman" w:cs="Times New Roman"/>
          <w:sz w:val="20"/>
          <w:szCs w:val="20"/>
        </w:rPr>
        <w:t xml:space="preserve">Zastavit únik kapaliny, pokud je to bezpečné. Používat vhodní osobní ochranné prostředky viz oddíl 8. Zajistit dostatečné větrání. </w:t>
      </w:r>
      <w:r w:rsidR="004A6BB9" w:rsidRPr="00CA138E">
        <w:rPr>
          <w:rStyle w:val="jlqj4b"/>
          <w:rFonts w:ascii="Times New Roman" w:hAnsi="Times New Roman" w:cs="Times New Roman"/>
          <w:sz w:val="20"/>
          <w:szCs w:val="20"/>
        </w:rPr>
        <w:t>Tyto údaje platí jak pro zpracovatele, tak pro osoby zapojené do nouzových postupů.</w:t>
      </w:r>
    </w:p>
    <w:p w:rsidR="00BD7A40" w:rsidRPr="00CA138E" w:rsidRDefault="00BD7A40" w:rsidP="002A619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CA138E">
        <w:rPr>
          <w:rFonts w:ascii="Times New Roman" w:hAnsi="Times New Roman" w:cs="Times New Roman"/>
          <w:b/>
        </w:rPr>
        <w:t>6.2</w:t>
      </w:r>
      <w:r w:rsidR="00CE7AAF" w:rsidRPr="00CA138E">
        <w:rPr>
          <w:rFonts w:ascii="Times New Roman" w:hAnsi="Times New Roman" w:cs="Times New Roman"/>
          <w:b/>
        </w:rPr>
        <w:t>.</w:t>
      </w:r>
      <w:r w:rsidR="006F2E1F" w:rsidRPr="00CA138E">
        <w:rPr>
          <w:rFonts w:ascii="Times New Roman" w:hAnsi="Times New Roman" w:cs="Times New Roman"/>
          <w:b/>
        </w:rPr>
        <w:t xml:space="preserve"> </w:t>
      </w:r>
      <w:r w:rsidRPr="00CA138E">
        <w:rPr>
          <w:rFonts w:ascii="Times New Roman" w:hAnsi="Times New Roman" w:cs="Times New Roman"/>
          <w:b/>
        </w:rPr>
        <w:t>Opatření na ochranu životního prostředí</w:t>
      </w:r>
    </w:p>
    <w:p w:rsidR="009A77BA" w:rsidRPr="00CA138E" w:rsidRDefault="009A77BA" w:rsidP="009A77BA">
      <w:pPr>
        <w:spacing w:after="0" w:line="240" w:lineRule="auto"/>
        <w:jc w:val="both"/>
        <w:rPr>
          <w:rStyle w:val="tlid-translation"/>
          <w:rFonts w:ascii="Times New Roman" w:hAnsi="Times New Roman" w:cs="Times New Roman"/>
          <w:sz w:val="20"/>
          <w:szCs w:val="20"/>
        </w:rPr>
      </w:pPr>
      <w:r w:rsidRPr="00CA138E">
        <w:rPr>
          <w:rStyle w:val="tlid-translation"/>
          <w:rFonts w:ascii="Times New Roman" w:hAnsi="Times New Roman" w:cs="Times New Roman"/>
          <w:sz w:val="20"/>
          <w:szCs w:val="20"/>
        </w:rPr>
        <w:t>Produkt nesmí proniknout do kanalizace ani se dostat do kontaktu s povrchovou nebo podzemní vodou.</w:t>
      </w:r>
      <w:r w:rsidRPr="00CA138E">
        <w:rPr>
          <w:rFonts w:ascii="Times New Roman" w:hAnsi="Times New Roman" w:cs="Times New Roman"/>
          <w:sz w:val="20"/>
          <w:szCs w:val="20"/>
        </w:rPr>
        <w:t xml:space="preserve"> Při průniku do vody informovat uživatele a zastavit její používání. Při úniku velkých množství zajistit sanační práce ve spolupráci s příslušným Obecním úřadem, referátem životního prostředí nebo inspektorátem ČIŽP.</w:t>
      </w:r>
    </w:p>
    <w:p w:rsidR="00BD7A40" w:rsidRPr="00CA138E" w:rsidRDefault="00BD7A40" w:rsidP="002A619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CA138E">
        <w:rPr>
          <w:rFonts w:ascii="Times New Roman" w:hAnsi="Times New Roman" w:cs="Times New Roman"/>
          <w:b/>
        </w:rPr>
        <w:t>6.3</w:t>
      </w:r>
      <w:r w:rsidR="00CE7AAF" w:rsidRPr="00CA138E">
        <w:rPr>
          <w:rFonts w:ascii="Times New Roman" w:hAnsi="Times New Roman" w:cs="Times New Roman"/>
          <w:b/>
        </w:rPr>
        <w:t>.</w:t>
      </w:r>
      <w:r w:rsidRPr="00CA138E">
        <w:rPr>
          <w:rFonts w:ascii="Times New Roman" w:hAnsi="Times New Roman" w:cs="Times New Roman"/>
          <w:b/>
        </w:rPr>
        <w:t xml:space="preserve"> Metody a materiál pro omezení úniku a pro čištění</w:t>
      </w:r>
    </w:p>
    <w:p w:rsidR="00BD7A40" w:rsidRPr="00CA138E" w:rsidRDefault="005D73F3" w:rsidP="005D73F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CA138E">
        <w:rPr>
          <w:rFonts w:ascii="Times New Roman" w:hAnsi="Times New Roman" w:cs="Times New Roman"/>
          <w:snapToGrid w:val="0"/>
          <w:sz w:val="20"/>
          <w:szCs w:val="20"/>
        </w:rPr>
        <w:t xml:space="preserve">Při náhodném úniku zakrýt kanalizační vpusť. Zabránit dalšímu úniku. </w:t>
      </w:r>
      <w:r w:rsidRPr="00CA138E">
        <w:rPr>
          <w:rFonts w:ascii="Times New Roman" w:hAnsi="Times New Roman" w:cs="Times New Roman"/>
          <w:sz w:val="20"/>
          <w:szCs w:val="20"/>
        </w:rPr>
        <w:t xml:space="preserve">Rozlitý produkt pohlcovat inertním materiálem (písek, zemina, křemelina aj.) a znečištěný materiál uložit do označených nádob, těsně uzavřít a odstranit podle oddílu 13. Místo úniku a použité nářadí opláchnout velkým množstvím vody. </w:t>
      </w:r>
      <w:r w:rsidR="004A5008" w:rsidRPr="00CA138E">
        <w:rPr>
          <w:rFonts w:ascii="Times New Roman" w:hAnsi="Times New Roman" w:cs="Times New Roman"/>
          <w:sz w:val="20"/>
          <w:szCs w:val="20"/>
        </w:rPr>
        <w:t>Znečištěnou odpadní vodu zadržet a zlikvidovat ji</w:t>
      </w:r>
      <w:r w:rsidR="004A5008" w:rsidRPr="00CA138E">
        <w:rPr>
          <w:rFonts w:ascii="Times New Roman" w:eastAsia="Calibri" w:hAnsi="Times New Roman" w:cs="Times New Roman"/>
          <w:sz w:val="20"/>
          <w:szCs w:val="20"/>
        </w:rPr>
        <w:t>.</w:t>
      </w:r>
    </w:p>
    <w:p w:rsidR="00BD7A40" w:rsidRPr="00CA138E" w:rsidRDefault="00BD7A40" w:rsidP="002A6190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CA138E">
        <w:rPr>
          <w:rFonts w:ascii="Times New Roman" w:hAnsi="Times New Roman" w:cs="Times New Roman"/>
          <w:b/>
          <w:bCs/>
        </w:rPr>
        <w:t>6.4</w:t>
      </w:r>
      <w:r w:rsidR="00CE7AAF" w:rsidRPr="00CA138E">
        <w:rPr>
          <w:rFonts w:ascii="Times New Roman" w:hAnsi="Times New Roman" w:cs="Times New Roman"/>
          <w:b/>
          <w:bCs/>
        </w:rPr>
        <w:t>.</w:t>
      </w:r>
      <w:r w:rsidR="006F2E1F" w:rsidRPr="00CA138E">
        <w:rPr>
          <w:rFonts w:ascii="Times New Roman" w:hAnsi="Times New Roman" w:cs="Times New Roman"/>
          <w:b/>
          <w:bCs/>
        </w:rPr>
        <w:t xml:space="preserve"> </w:t>
      </w:r>
      <w:r w:rsidRPr="00CA138E">
        <w:rPr>
          <w:rFonts w:ascii="Times New Roman" w:hAnsi="Times New Roman" w:cs="Times New Roman"/>
          <w:b/>
          <w:bCs/>
        </w:rPr>
        <w:t>Odkaz na jiné oddíly</w:t>
      </w: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Řiďte se rovněž ustanoveními oddílů 8 a 13 tohoto bezpečnostního listu.</w:t>
      </w:r>
    </w:p>
    <w:p w:rsidR="002A23B3" w:rsidRPr="00CA138E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CA138E" w:rsidTr="00607662">
        <w:tc>
          <w:tcPr>
            <w:tcW w:w="9104" w:type="dxa"/>
          </w:tcPr>
          <w:p w:rsidR="002A23B3" w:rsidRPr="00CA138E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7: Zacházení a skladování </w:t>
            </w:r>
          </w:p>
        </w:tc>
      </w:tr>
    </w:tbl>
    <w:p w:rsidR="00BD7A40" w:rsidRPr="00CA138E" w:rsidRDefault="00BD7A40" w:rsidP="002A619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CA138E">
        <w:rPr>
          <w:rFonts w:ascii="Times New Roman" w:hAnsi="Times New Roman" w:cs="Times New Roman"/>
          <w:b/>
        </w:rPr>
        <w:t>7.1</w:t>
      </w:r>
      <w:r w:rsidR="002C249A" w:rsidRPr="00CA138E">
        <w:rPr>
          <w:rFonts w:ascii="Times New Roman" w:hAnsi="Times New Roman" w:cs="Times New Roman"/>
          <w:b/>
        </w:rPr>
        <w:t>.</w:t>
      </w:r>
      <w:r w:rsidR="006F2E1F" w:rsidRPr="00CA138E">
        <w:rPr>
          <w:rFonts w:ascii="Times New Roman" w:hAnsi="Times New Roman" w:cs="Times New Roman"/>
          <w:b/>
        </w:rPr>
        <w:t xml:space="preserve"> </w:t>
      </w:r>
      <w:r w:rsidRPr="00CA138E">
        <w:rPr>
          <w:rFonts w:ascii="Times New Roman" w:hAnsi="Times New Roman" w:cs="Times New Roman"/>
          <w:b/>
        </w:rPr>
        <w:t>Opatření pro bezpečné zacházení</w:t>
      </w:r>
    </w:p>
    <w:p w:rsidR="004A5008" w:rsidRPr="00CA138E" w:rsidRDefault="004A5008" w:rsidP="004A500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A138E">
        <w:rPr>
          <w:rFonts w:ascii="Times New Roman" w:hAnsi="Times New Roman" w:cs="Times New Roman"/>
          <w:sz w:val="20"/>
          <w:szCs w:val="20"/>
          <w:u w:val="single"/>
        </w:rPr>
        <w:t>Pokyny pro ochranu před požárem:</w:t>
      </w:r>
    </w:p>
    <w:p w:rsidR="004A5008" w:rsidRPr="00CA138E" w:rsidRDefault="004A5008" w:rsidP="004A50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 xml:space="preserve">Dodržovat veškerá protipožární opatření. </w:t>
      </w:r>
    </w:p>
    <w:p w:rsidR="00BD7A40" w:rsidRPr="00CA138E" w:rsidRDefault="00520ABA" w:rsidP="004A5008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A138E">
        <w:rPr>
          <w:rFonts w:ascii="Times New Roman" w:hAnsi="Times New Roman" w:cs="Times New Roman"/>
          <w:sz w:val="20"/>
          <w:szCs w:val="20"/>
          <w:u w:val="single"/>
        </w:rPr>
        <w:t>Pokyny pro b</w:t>
      </w:r>
      <w:r w:rsidR="00465A35" w:rsidRPr="00CA138E">
        <w:rPr>
          <w:rFonts w:ascii="Times New Roman" w:hAnsi="Times New Roman" w:cs="Times New Roman"/>
          <w:sz w:val="20"/>
          <w:szCs w:val="20"/>
          <w:u w:val="single"/>
        </w:rPr>
        <w:t>ezpečné zacházení:</w:t>
      </w:r>
    </w:p>
    <w:p w:rsidR="00BD7A40" w:rsidRPr="00CA138E" w:rsidRDefault="00266494" w:rsidP="00CF10E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A138E">
        <w:rPr>
          <w:rFonts w:ascii="Times New Roman" w:hAnsi="Times New Roman" w:cs="Times New Roman"/>
          <w:bCs/>
          <w:sz w:val="20"/>
          <w:szCs w:val="20"/>
        </w:rPr>
        <w:t xml:space="preserve">Před manipulací s produktem se seznámit s návodem k použití. </w:t>
      </w:r>
      <w:r w:rsidR="005D73F3" w:rsidRPr="00CA138E">
        <w:rPr>
          <w:rFonts w:ascii="Times New Roman" w:hAnsi="Times New Roman" w:cs="Times New Roman"/>
          <w:sz w:val="20"/>
          <w:szCs w:val="20"/>
        </w:rPr>
        <w:t xml:space="preserve">Dodržovat běžná hygienická opatření a průmyslové bezpečnostní předpisy. </w:t>
      </w:r>
      <w:r w:rsidR="004A5008" w:rsidRPr="00CA138E">
        <w:rPr>
          <w:rFonts w:ascii="Times New Roman" w:hAnsi="Times New Roman" w:cs="Times New Roman"/>
          <w:sz w:val="20"/>
          <w:szCs w:val="20"/>
        </w:rPr>
        <w:t xml:space="preserve">Zamezit kontaktu s kůží a očima. Používat osobní ochranné prostředky viz oddíl 8. </w:t>
      </w:r>
      <w:r w:rsidR="00BD7A40" w:rsidRPr="00CA138E">
        <w:rPr>
          <w:rFonts w:ascii="Times New Roman" w:hAnsi="Times New Roman" w:cs="Times New Roman"/>
          <w:bCs/>
          <w:sz w:val="20"/>
          <w:szCs w:val="20"/>
        </w:rPr>
        <w:t xml:space="preserve">Po skončení práce si důkladně </w:t>
      </w:r>
      <w:r w:rsidR="00662543" w:rsidRPr="00CA138E">
        <w:rPr>
          <w:rFonts w:ascii="Times New Roman" w:hAnsi="Times New Roman" w:cs="Times New Roman"/>
          <w:bCs/>
          <w:sz w:val="20"/>
          <w:szCs w:val="20"/>
        </w:rPr>
        <w:t>o</w:t>
      </w:r>
      <w:r w:rsidR="00BD7A40" w:rsidRPr="00CA138E">
        <w:rPr>
          <w:rFonts w:ascii="Times New Roman" w:hAnsi="Times New Roman" w:cs="Times New Roman"/>
          <w:bCs/>
          <w:sz w:val="20"/>
          <w:szCs w:val="20"/>
        </w:rPr>
        <w:t>mýt ruce a obličej vodou a mýdlem. Při práci nejíst, nepít, nekouřit.</w:t>
      </w:r>
    </w:p>
    <w:p w:rsidR="004A5008" w:rsidRPr="00CA138E" w:rsidRDefault="004A5008">
      <w:pPr>
        <w:rPr>
          <w:rFonts w:ascii="Times New Roman" w:hAnsi="Times New Roman" w:cs="Times New Roman"/>
          <w:sz w:val="20"/>
          <w:szCs w:val="20"/>
          <w:u w:val="single"/>
        </w:rPr>
      </w:pPr>
      <w:r w:rsidRPr="00CA138E">
        <w:rPr>
          <w:rFonts w:ascii="Times New Roman" w:hAnsi="Times New Roman" w:cs="Times New Roman"/>
          <w:sz w:val="20"/>
          <w:szCs w:val="20"/>
          <w:u w:val="single"/>
        </w:rPr>
        <w:br w:type="page"/>
      </w:r>
    </w:p>
    <w:p w:rsidR="00176F47" w:rsidRPr="00CA138E" w:rsidRDefault="00BD7A40" w:rsidP="00176F47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  <w:u w:val="single"/>
        </w:rPr>
        <w:lastRenderedPageBreak/>
        <w:t>Zamezení úniku do životního prostředí:</w:t>
      </w:r>
      <w:r w:rsidRPr="00CA138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1F62" w:rsidRPr="00CA138E" w:rsidRDefault="00DD0BFC" w:rsidP="00CF10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V závislosti na skladovaném množství produktu provést vhodná opatření k zachycení úniku úkapů z nádob. Poškozené obaly mechanicky sebrat a odstranit, pokud tak lze učinit bez rizika. Zabránit rozlití nebo únikům do</w:t>
      </w:r>
      <w:r w:rsidR="005D73F3" w:rsidRPr="00CA138E">
        <w:rPr>
          <w:rFonts w:ascii="Times New Roman" w:hAnsi="Times New Roman" w:cs="Times New Roman"/>
          <w:sz w:val="20"/>
          <w:szCs w:val="20"/>
        </w:rPr>
        <w:t> </w:t>
      </w:r>
      <w:r w:rsidRPr="00CA138E">
        <w:rPr>
          <w:rFonts w:ascii="Times New Roman" w:hAnsi="Times New Roman" w:cs="Times New Roman"/>
          <w:sz w:val="20"/>
          <w:szCs w:val="20"/>
        </w:rPr>
        <w:t xml:space="preserve">kanalizace, povrchových nebo podzemních vod. Při úniku postupovat podle oddílu 6. </w:t>
      </w:r>
    </w:p>
    <w:p w:rsidR="00BD7A40" w:rsidRPr="00CA138E" w:rsidRDefault="00BD7A40" w:rsidP="002A619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CA138E">
        <w:rPr>
          <w:rFonts w:ascii="Times New Roman" w:hAnsi="Times New Roman" w:cs="Times New Roman"/>
          <w:b/>
        </w:rPr>
        <w:t>7.2</w:t>
      </w:r>
      <w:r w:rsidR="002C249A" w:rsidRPr="00CA138E">
        <w:rPr>
          <w:rFonts w:ascii="Times New Roman" w:hAnsi="Times New Roman" w:cs="Times New Roman"/>
          <w:b/>
        </w:rPr>
        <w:t>.</w:t>
      </w:r>
      <w:r w:rsidR="006F2E1F" w:rsidRPr="00CA138E">
        <w:rPr>
          <w:rFonts w:ascii="Times New Roman" w:hAnsi="Times New Roman" w:cs="Times New Roman"/>
          <w:b/>
        </w:rPr>
        <w:t xml:space="preserve"> </w:t>
      </w:r>
      <w:r w:rsidRPr="00CA138E">
        <w:rPr>
          <w:rFonts w:ascii="Times New Roman" w:hAnsi="Times New Roman" w:cs="Times New Roman"/>
          <w:b/>
        </w:rPr>
        <w:t>Podmínky pro bezpečné skladování látek a směsí včetně neslučitelných látek a směsí</w:t>
      </w:r>
    </w:p>
    <w:p w:rsidR="005D73F3" w:rsidRPr="00CA138E" w:rsidRDefault="005D73F3" w:rsidP="005D7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Skladovat v původních obalech. Pokud produkt nepoužíváte, uchovávejte jej těsně uzavřený na dobře větraném místě mimo dosah přímého slunečního záření, potravin, nápojů a krmiv.</w:t>
      </w:r>
    </w:p>
    <w:p w:rsidR="005D73F3" w:rsidRPr="00CA138E" w:rsidRDefault="005D73F3" w:rsidP="005D7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 xml:space="preserve">Otevřené obaly musí být pečlivě uzavřeny a ponechávány ve svislé poloze, aby nedošlo k úniku. </w:t>
      </w:r>
    </w:p>
    <w:p w:rsidR="00BD7A40" w:rsidRPr="00CA138E" w:rsidRDefault="00266494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Uchovávat v jasně označených obalech mimo dosah neslučitelných materiálů (viz oddíl 10).</w:t>
      </w:r>
    </w:p>
    <w:p w:rsidR="00BD7A40" w:rsidRPr="00CA138E" w:rsidRDefault="00BD7A40" w:rsidP="002A6190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CA138E">
        <w:rPr>
          <w:rFonts w:ascii="Times New Roman" w:hAnsi="Times New Roman" w:cs="Times New Roman"/>
          <w:b/>
          <w:bCs/>
        </w:rPr>
        <w:t>7.3</w:t>
      </w:r>
      <w:r w:rsidR="002C249A" w:rsidRPr="00CA138E">
        <w:rPr>
          <w:rFonts w:ascii="Times New Roman" w:hAnsi="Times New Roman" w:cs="Times New Roman"/>
          <w:b/>
          <w:bCs/>
        </w:rPr>
        <w:t>.</w:t>
      </w:r>
      <w:r w:rsidR="006F2E1F" w:rsidRPr="00CA138E">
        <w:rPr>
          <w:rFonts w:ascii="Times New Roman" w:hAnsi="Times New Roman" w:cs="Times New Roman"/>
          <w:b/>
          <w:bCs/>
        </w:rPr>
        <w:t xml:space="preserve"> </w:t>
      </w:r>
      <w:r w:rsidRPr="00CA138E">
        <w:rPr>
          <w:rFonts w:ascii="Times New Roman" w:hAnsi="Times New Roman" w:cs="Times New Roman"/>
          <w:b/>
          <w:bCs/>
        </w:rPr>
        <w:t>Specifické konečné/specifická konečná použití</w:t>
      </w: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Specifické použití je uvedené v návodu na použití na štítku obalu výrobku nebo v dokumentaci k výrobku.</w:t>
      </w:r>
    </w:p>
    <w:p w:rsidR="002A23B3" w:rsidRPr="00CA138E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CA138E" w:rsidTr="00607662">
        <w:tc>
          <w:tcPr>
            <w:tcW w:w="9104" w:type="dxa"/>
          </w:tcPr>
          <w:p w:rsidR="002A23B3" w:rsidRPr="00CA138E" w:rsidRDefault="009A708D" w:rsidP="00CF10EA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8: Omezování expozice/osobní ochranné prostředky </w:t>
            </w:r>
          </w:p>
        </w:tc>
      </w:tr>
    </w:tbl>
    <w:p w:rsidR="00BD7A40" w:rsidRPr="00CA138E" w:rsidRDefault="00BD7A40" w:rsidP="002A6190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CA138E">
        <w:rPr>
          <w:rFonts w:ascii="Times New Roman" w:hAnsi="Times New Roman" w:cs="Times New Roman"/>
          <w:b/>
        </w:rPr>
        <w:t>8.1</w:t>
      </w:r>
      <w:r w:rsidR="002C249A" w:rsidRPr="00CA138E">
        <w:rPr>
          <w:rFonts w:ascii="Times New Roman" w:hAnsi="Times New Roman" w:cs="Times New Roman"/>
          <w:b/>
        </w:rPr>
        <w:t>.</w:t>
      </w:r>
      <w:r w:rsidR="004C5921" w:rsidRPr="00CA138E">
        <w:rPr>
          <w:rFonts w:ascii="Times New Roman" w:hAnsi="Times New Roman" w:cs="Times New Roman"/>
          <w:b/>
        </w:rPr>
        <w:t xml:space="preserve"> </w:t>
      </w:r>
      <w:r w:rsidRPr="00CA138E">
        <w:rPr>
          <w:rFonts w:ascii="Times New Roman" w:hAnsi="Times New Roman" w:cs="Times New Roman"/>
          <w:b/>
        </w:rPr>
        <w:t>Kontrolní parametry</w:t>
      </w:r>
    </w:p>
    <w:p w:rsidR="004A5008" w:rsidRPr="00CA138E" w:rsidRDefault="004A5008" w:rsidP="004A500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A138E">
        <w:rPr>
          <w:rFonts w:ascii="Times New Roman" w:hAnsi="Times New Roman" w:cs="Times New Roman"/>
          <w:bCs/>
          <w:sz w:val="20"/>
          <w:szCs w:val="20"/>
        </w:rPr>
        <w:t xml:space="preserve">Kontrolní parametry látek v nařízení vlády č. 361/2007 Sb., ve znění pozdějších předpisů </w:t>
      </w:r>
    </w:p>
    <w:p w:rsidR="004A5008" w:rsidRPr="00CA138E" w:rsidRDefault="004A5008" w:rsidP="004A500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CA138E">
        <w:rPr>
          <w:rFonts w:ascii="Times New Roman" w:hAnsi="Times New Roman" w:cs="Times New Roman"/>
          <w:bCs/>
          <w:i/>
          <w:sz w:val="20"/>
          <w:szCs w:val="20"/>
        </w:rPr>
        <w:t xml:space="preserve">Látka uvolňující se při </w:t>
      </w:r>
      <w:r w:rsidRPr="00CA138E">
        <w:rPr>
          <w:rFonts w:ascii="Times New Roman" w:hAnsi="Times New Roman" w:cs="Times New Roman"/>
          <w:i/>
          <w:sz w:val="20"/>
          <w:szCs w:val="20"/>
        </w:rPr>
        <w:t>styku s kyselinami: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701"/>
        <w:gridCol w:w="1843"/>
        <w:gridCol w:w="1984"/>
      </w:tblGrid>
      <w:tr w:rsidR="004A5008" w:rsidRPr="00CA138E" w:rsidTr="00140BCF">
        <w:trPr>
          <w:cantSplit/>
        </w:trPr>
        <w:tc>
          <w:tcPr>
            <w:tcW w:w="2410" w:type="dxa"/>
            <w:vAlign w:val="center"/>
          </w:tcPr>
          <w:p w:rsidR="004A5008" w:rsidRPr="00CA138E" w:rsidRDefault="004A5008" w:rsidP="00140B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bCs/>
                <w:sz w:val="20"/>
                <w:szCs w:val="20"/>
              </w:rPr>
              <w:t>Látka</w:t>
            </w:r>
          </w:p>
        </w:tc>
        <w:tc>
          <w:tcPr>
            <w:tcW w:w="1134" w:type="dxa"/>
            <w:vAlign w:val="center"/>
          </w:tcPr>
          <w:p w:rsidR="004A5008" w:rsidRPr="00CA138E" w:rsidRDefault="004A5008" w:rsidP="00140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bCs/>
                <w:sz w:val="20"/>
                <w:szCs w:val="20"/>
              </w:rPr>
              <w:t>CAS</w:t>
            </w:r>
          </w:p>
        </w:tc>
        <w:tc>
          <w:tcPr>
            <w:tcW w:w="1701" w:type="dxa"/>
            <w:vAlign w:val="center"/>
          </w:tcPr>
          <w:p w:rsidR="004A5008" w:rsidRPr="00CA138E" w:rsidRDefault="004A5008" w:rsidP="00140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bCs/>
                <w:sz w:val="20"/>
                <w:szCs w:val="20"/>
              </w:rPr>
              <w:t>PEL/NPK-P</w:t>
            </w:r>
          </w:p>
          <w:p w:rsidR="004A5008" w:rsidRPr="00CA138E" w:rsidRDefault="004A5008" w:rsidP="00140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bCs/>
                <w:sz w:val="20"/>
                <w:szCs w:val="20"/>
              </w:rPr>
              <w:t>(mg/m</w:t>
            </w:r>
            <w:r w:rsidRPr="00CA138E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3</w:t>
            </w:r>
            <w:r w:rsidRPr="00CA138E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4A5008" w:rsidRPr="00CA138E" w:rsidRDefault="004A5008" w:rsidP="00140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bCs/>
                <w:sz w:val="20"/>
                <w:szCs w:val="20"/>
              </w:rPr>
              <w:t>Poznámky</w:t>
            </w:r>
          </w:p>
        </w:tc>
        <w:tc>
          <w:tcPr>
            <w:tcW w:w="1984" w:type="dxa"/>
            <w:vAlign w:val="center"/>
          </w:tcPr>
          <w:p w:rsidR="004A5008" w:rsidRPr="00CA138E" w:rsidRDefault="004A5008" w:rsidP="00140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bCs/>
                <w:sz w:val="20"/>
                <w:szCs w:val="20"/>
              </w:rPr>
              <w:t>Faktor přepočtu</w:t>
            </w:r>
          </w:p>
          <w:p w:rsidR="004A5008" w:rsidRPr="00CA138E" w:rsidRDefault="004A5008" w:rsidP="00140B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 </w:t>
            </w:r>
            <w:proofErr w:type="spellStart"/>
            <w:r w:rsidRPr="00CA138E">
              <w:rPr>
                <w:rFonts w:ascii="Times New Roman" w:hAnsi="Times New Roman" w:cs="Times New Roman"/>
                <w:bCs/>
                <w:sz w:val="20"/>
                <w:szCs w:val="20"/>
              </w:rPr>
              <w:t>ppm</w:t>
            </w:r>
            <w:proofErr w:type="spellEnd"/>
          </w:p>
        </w:tc>
      </w:tr>
      <w:tr w:rsidR="004A5008" w:rsidRPr="00CA138E" w:rsidTr="00140BCF">
        <w:trPr>
          <w:cantSplit/>
        </w:trPr>
        <w:tc>
          <w:tcPr>
            <w:tcW w:w="2410" w:type="dxa"/>
            <w:vAlign w:val="center"/>
          </w:tcPr>
          <w:p w:rsidR="004A5008" w:rsidRPr="00CA138E" w:rsidRDefault="004A5008" w:rsidP="00140B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Chlor </w:t>
            </w:r>
          </w:p>
        </w:tc>
        <w:tc>
          <w:tcPr>
            <w:tcW w:w="1134" w:type="dxa"/>
            <w:vAlign w:val="center"/>
          </w:tcPr>
          <w:p w:rsidR="004A5008" w:rsidRPr="00CA138E" w:rsidRDefault="004A5008" w:rsidP="0014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7782-50-5</w:t>
            </w:r>
          </w:p>
        </w:tc>
        <w:tc>
          <w:tcPr>
            <w:tcW w:w="1701" w:type="dxa"/>
            <w:vAlign w:val="center"/>
          </w:tcPr>
          <w:p w:rsidR="004A5008" w:rsidRPr="00CA138E" w:rsidRDefault="004A5008" w:rsidP="0014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0,5 / 1,5</w:t>
            </w:r>
          </w:p>
        </w:tc>
        <w:tc>
          <w:tcPr>
            <w:tcW w:w="1843" w:type="dxa"/>
            <w:vAlign w:val="center"/>
          </w:tcPr>
          <w:p w:rsidR="004A5008" w:rsidRPr="00CA138E" w:rsidRDefault="004A5008" w:rsidP="0014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</w:p>
        </w:tc>
        <w:tc>
          <w:tcPr>
            <w:tcW w:w="1984" w:type="dxa"/>
            <w:vAlign w:val="center"/>
          </w:tcPr>
          <w:p w:rsidR="004A5008" w:rsidRPr="00CA138E" w:rsidRDefault="004A5008" w:rsidP="0014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0,307</w:t>
            </w:r>
          </w:p>
        </w:tc>
      </w:tr>
    </w:tbl>
    <w:p w:rsidR="004A5008" w:rsidRPr="00CA138E" w:rsidRDefault="004A5008" w:rsidP="004A50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 xml:space="preserve">I - dráždí sliznice (oči, dýchací cesty), respektive kůži. </w:t>
      </w:r>
    </w:p>
    <w:p w:rsidR="004A5008" w:rsidRPr="00CA138E" w:rsidRDefault="004A5008" w:rsidP="004A50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5008" w:rsidRPr="00CA138E" w:rsidRDefault="004A5008" w:rsidP="004A500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 xml:space="preserve">Limitní expoziční hodnoty na pracovišti podle směrnice č. </w:t>
      </w:r>
      <w:r w:rsidRPr="00CA138E">
        <w:rPr>
          <w:rFonts w:ascii="Times New Roman" w:hAnsi="Times New Roman" w:cs="Times New Roman"/>
          <w:bCs/>
          <w:sz w:val="20"/>
          <w:szCs w:val="20"/>
        </w:rPr>
        <w:t>2000/39/ES, ve znění pozdějších předpisů</w:t>
      </w:r>
      <w:r w:rsidRPr="00CA138E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2838"/>
        <w:gridCol w:w="1054"/>
        <w:gridCol w:w="890"/>
        <w:gridCol w:w="1054"/>
        <w:gridCol w:w="890"/>
        <w:gridCol w:w="1186"/>
      </w:tblGrid>
      <w:tr w:rsidR="004A5008" w:rsidRPr="00CA138E" w:rsidTr="00140BCF">
        <w:trPr>
          <w:cantSplit/>
        </w:trPr>
        <w:tc>
          <w:tcPr>
            <w:tcW w:w="1160" w:type="dxa"/>
            <w:vMerge w:val="restart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A5008" w:rsidRPr="00CA138E" w:rsidRDefault="004A5008" w:rsidP="0014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2838" w:type="dxa"/>
            <w:vMerge w:val="restart"/>
            <w:tcBorders>
              <w:bottom w:val="double" w:sz="4" w:space="0" w:color="auto"/>
            </w:tcBorders>
            <w:vAlign w:val="center"/>
          </w:tcPr>
          <w:p w:rsidR="004A5008" w:rsidRPr="00CA138E" w:rsidRDefault="004A5008" w:rsidP="0014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Název látky</w:t>
            </w:r>
          </w:p>
        </w:tc>
        <w:tc>
          <w:tcPr>
            <w:tcW w:w="1944" w:type="dxa"/>
            <w:gridSpan w:val="2"/>
            <w:tcBorders>
              <w:bottom w:val="single" w:sz="4" w:space="0" w:color="auto"/>
            </w:tcBorders>
            <w:vAlign w:val="center"/>
          </w:tcPr>
          <w:p w:rsidR="004A5008" w:rsidRPr="00CA138E" w:rsidRDefault="004A5008" w:rsidP="0014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8 hodin</w:t>
            </w:r>
          </w:p>
        </w:tc>
        <w:tc>
          <w:tcPr>
            <w:tcW w:w="1944" w:type="dxa"/>
            <w:gridSpan w:val="2"/>
            <w:tcBorders>
              <w:bottom w:val="single" w:sz="4" w:space="0" w:color="auto"/>
            </w:tcBorders>
            <w:vAlign w:val="center"/>
          </w:tcPr>
          <w:p w:rsidR="004A5008" w:rsidRPr="00CA138E" w:rsidRDefault="004A5008" w:rsidP="0014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Krátká doba</w:t>
            </w:r>
          </w:p>
        </w:tc>
        <w:tc>
          <w:tcPr>
            <w:tcW w:w="1186" w:type="dxa"/>
            <w:vMerge w:val="restar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A5008" w:rsidRPr="00CA138E" w:rsidRDefault="004A5008" w:rsidP="0014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Poznámka</w:t>
            </w:r>
          </w:p>
        </w:tc>
      </w:tr>
      <w:tr w:rsidR="004A5008" w:rsidRPr="00CA138E" w:rsidTr="00140BCF">
        <w:trPr>
          <w:cantSplit/>
        </w:trPr>
        <w:tc>
          <w:tcPr>
            <w:tcW w:w="11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008" w:rsidRPr="00CA138E" w:rsidRDefault="004A5008" w:rsidP="0014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5008" w:rsidRPr="00CA138E" w:rsidRDefault="004A5008" w:rsidP="0014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008" w:rsidRPr="00CA138E" w:rsidRDefault="004A5008" w:rsidP="0014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mg/m</w:t>
            </w:r>
            <w:r w:rsidRPr="00CA13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008" w:rsidRPr="00CA138E" w:rsidRDefault="004A5008" w:rsidP="0014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ppm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008" w:rsidRPr="00CA138E" w:rsidRDefault="004A5008" w:rsidP="0014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mg/m</w:t>
            </w:r>
            <w:r w:rsidRPr="00CA13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008" w:rsidRPr="00CA138E" w:rsidRDefault="004A5008" w:rsidP="0014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ppm</w:t>
            </w:r>
            <w:proofErr w:type="spellEnd"/>
          </w:p>
        </w:tc>
        <w:tc>
          <w:tcPr>
            <w:tcW w:w="1186" w:type="dxa"/>
            <w:vMerge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008" w:rsidRPr="00CA138E" w:rsidRDefault="004A5008" w:rsidP="0014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008" w:rsidRPr="00CA138E" w:rsidTr="00140BCF"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</w:tcPr>
          <w:p w:rsidR="004A5008" w:rsidRPr="00CA138E" w:rsidRDefault="004A5008" w:rsidP="0014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7782-50-5</w:t>
            </w: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4A5008" w:rsidRPr="00CA138E" w:rsidRDefault="004A5008" w:rsidP="0014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Chlor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4A5008" w:rsidRPr="00CA138E" w:rsidRDefault="004A5008" w:rsidP="0014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4A5008" w:rsidRPr="00CA138E" w:rsidRDefault="004A5008" w:rsidP="0014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4A5008" w:rsidRPr="00CA138E" w:rsidRDefault="004A5008" w:rsidP="0014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4A5008" w:rsidRPr="00CA138E" w:rsidRDefault="004A5008" w:rsidP="0014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86" w:type="dxa"/>
            <w:tcBorders>
              <w:top w:val="single" w:sz="4" w:space="0" w:color="auto"/>
              <w:right w:val="single" w:sz="4" w:space="0" w:color="auto"/>
            </w:tcBorders>
          </w:tcPr>
          <w:p w:rsidR="004A5008" w:rsidRPr="00CA138E" w:rsidRDefault="004A5008" w:rsidP="0014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66494" w:rsidRPr="00CA138E" w:rsidRDefault="00266494" w:rsidP="002664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7A40" w:rsidRPr="00CA138E" w:rsidRDefault="00BD7A40" w:rsidP="00C97D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 xml:space="preserve">Limitní hodnoty ukazatelů biologických expozičních testů ve vyhlášce č. 432/2003 </w:t>
      </w:r>
      <w:r w:rsidRPr="00CA138E">
        <w:rPr>
          <w:rFonts w:ascii="Times New Roman" w:hAnsi="Times New Roman" w:cs="Times New Roman"/>
          <w:bCs/>
          <w:sz w:val="20"/>
          <w:szCs w:val="20"/>
        </w:rPr>
        <w:t>Sb., ve znění pozdějších předpisů</w:t>
      </w:r>
      <w:r w:rsidR="00A95667" w:rsidRPr="00CA138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5667" w:rsidRPr="00CA138E">
        <w:rPr>
          <w:rFonts w:ascii="Times New Roman" w:hAnsi="Times New Roman" w:cs="Times New Roman"/>
          <w:sz w:val="20"/>
          <w:szCs w:val="20"/>
        </w:rPr>
        <w:t>– nejsou uvedeny</w:t>
      </w: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b/>
          <w:sz w:val="20"/>
          <w:szCs w:val="20"/>
        </w:rPr>
        <w:t>Hodnoty DNEL a PNEC:</w:t>
      </w:r>
      <w:r w:rsidRPr="00CA138E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CA138E">
        <w:rPr>
          <w:rFonts w:ascii="Times New Roman" w:hAnsi="Times New Roman" w:cs="Times New Roman"/>
          <w:sz w:val="20"/>
          <w:szCs w:val="20"/>
        </w:rPr>
        <w:t>zatím nejsou k dispozici pro směs.</w:t>
      </w:r>
    </w:p>
    <w:p w:rsidR="00876255" w:rsidRPr="00CA138E" w:rsidRDefault="00876255" w:rsidP="008762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A138E">
        <w:rPr>
          <w:rFonts w:ascii="Times New Roman" w:hAnsi="Times New Roman" w:cs="Times New Roman"/>
          <w:b/>
          <w:sz w:val="20"/>
          <w:szCs w:val="20"/>
        </w:rPr>
        <w:t xml:space="preserve">Chloritan sodný </w:t>
      </w:r>
    </w:p>
    <w:p w:rsidR="00876255" w:rsidRPr="00CA138E" w:rsidRDefault="00876255" w:rsidP="00876255">
      <w:pPr>
        <w:pStyle w:val="Nadpis1"/>
        <w:keepLines/>
        <w:widowControl w:val="0"/>
        <w:numPr>
          <w:ilvl w:val="0"/>
          <w:numId w:val="0"/>
        </w:numPr>
        <w:spacing w:before="0" w:after="0"/>
        <w:rPr>
          <w:b w:val="0"/>
          <w:caps/>
          <w:sz w:val="20"/>
        </w:rPr>
      </w:pPr>
      <w:r w:rsidRPr="00CA138E">
        <w:rPr>
          <w:b w:val="0"/>
          <w:sz w:val="20"/>
        </w:rPr>
        <w:t xml:space="preserve">Hodnoty DNEL: </w:t>
      </w:r>
    </w:p>
    <w:p w:rsidR="00876255" w:rsidRPr="00CA138E" w:rsidRDefault="00876255" w:rsidP="008762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pracovníci: 0,</w:t>
      </w:r>
      <w:r w:rsidR="009A77BA" w:rsidRPr="00CA138E">
        <w:rPr>
          <w:rFonts w:ascii="Times New Roman" w:hAnsi="Times New Roman" w:cs="Times New Roman"/>
          <w:sz w:val="20"/>
          <w:szCs w:val="20"/>
        </w:rPr>
        <w:t>28</w:t>
      </w:r>
      <w:r w:rsidRPr="00CA138E">
        <w:rPr>
          <w:rFonts w:ascii="Times New Roman" w:hAnsi="Times New Roman" w:cs="Times New Roman"/>
          <w:sz w:val="20"/>
          <w:szCs w:val="20"/>
        </w:rPr>
        <w:t xml:space="preserve"> mg/m</w:t>
      </w:r>
      <w:r w:rsidRPr="00CA138E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CA138E">
        <w:rPr>
          <w:rFonts w:ascii="Times New Roman" w:hAnsi="Times New Roman" w:cs="Times New Roman"/>
          <w:sz w:val="20"/>
          <w:szCs w:val="20"/>
        </w:rPr>
        <w:t xml:space="preserve"> – expozice člověk, inhalační, dlouhodobá i krátkodobá expozice, účinky systémové</w:t>
      </w:r>
    </w:p>
    <w:p w:rsidR="00876255" w:rsidRPr="00CA138E" w:rsidRDefault="00876255" w:rsidP="008762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 xml:space="preserve">pracovníci: 0,8 mg/kg váhy těla/den – expozice člověk, dermální, </w:t>
      </w:r>
      <w:r w:rsidR="009A77BA" w:rsidRPr="00CA138E">
        <w:rPr>
          <w:rFonts w:ascii="Times New Roman" w:hAnsi="Times New Roman" w:cs="Times New Roman"/>
          <w:sz w:val="20"/>
          <w:szCs w:val="20"/>
        </w:rPr>
        <w:t xml:space="preserve">dlouhodobá i krátkodobá </w:t>
      </w:r>
      <w:r w:rsidRPr="00CA138E">
        <w:rPr>
          <w:rFonts w:ascii="Times New Roman" w:hAnsi="Times New Roman" w:cs="Times New Roman"/>
          <w:sz w:val="20"/>
          <w:szCs w:val="20"/>
        </w:rPr>
        <w:t>expozice, účinky systémové</w:t>
      </w:r>
    </w:p>
    <w:p w:rsidR="00876255" w:rsidRPr="00CA138E" w:rsidRDefault="00876255" w:rsidP="008762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 xml:space="preserve">Hodnoty PNEC: </w:t>
      </w:r>
    </w:p>
    <w:p w:rsidR="00876255" w:rsidRPr="00CA138E" w:rsidRDefault="00876255" w:rsidP="008762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sladkovodní prostředí: 0,65 µg/l</w:t>
      </w:r>
    </w:p>
    <w:p w:rsidR="00876255" w:rsidRPr="00CA138E" w:rsidRDefault="00876255" w:rsidP="008762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mořská voda: 0,065 µg/l</w:t>
      </w:r>
    </w:p>
    <w:p w:rsidR="00876255" w:rsidRPr="00CA138E" w:rsidRDefault="00876255" w:rsidP="008762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mikroorganismy v čističkách odpadních vod: 1 mg/l</w:t>
      </w:r>
    </w:p>
    <w:p w:rsidR="00876255" w:rsidRPr="00CA138E" w:rsidRDefault="00876255" w:rsidP="00BD7A4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A138E">
        <w:rPr>
          <w:rFonts w:ascii="Times New Roman" w:hAnsi="Times New Roman" w:cs="Times New Roman"/>
          <w:b/>
          <w:bCs/>
        </w:rPr>
        <w:t>8.2</w:t>
      </w:r>
      <w:r w:rsidR="002C249A" w:rsidRPr="00CA138E">
        <w:rPr>
          <w:rFonts w:ascii="Times New Roman" w:hAnsi="Times New Roman" w:cs="Times New Roman"/>
          <w:b/>
          <w:bCs/>
        </w:rPr>
        <w:t>.</w:t>
      </w:r>
      <w:r w:rsidRPr="00CA138E">
        <w:rPr>
          <w:rFonts w:ascii="Times New Roman" w:hAnsi="Times New Roman" w:cs="Times New Roman"/>
          <w:b/>
          <w:bCs/>
        </w:rPr>
        <w:t xml:space="preserve"> Omezování expozice</w:t>
      </w: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A138E">
        <w:rPr>
          <w:rFonts w:ascii="Times New Roman" w:hAnsi="Times New Roman" w:cs="Times New Roman"/>
          <w:b/>
          <w:bCs/>
          <w:sz w:val="20"/>
          <w:szCs w:val="20"/>
        </w:rPr>
        <w:t>8.2.1</w:t>
      </w:r>
      <w:r w:rsidR="004C5921" w:rsidRPr="00CA138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A138E">
        <w:rPr>
          <w:rFonts w:ascii="Times New Roman" w:hAnsi="Times New Roman" w:cs="Times New Roman"/>
          <w:b/>
          <w:bCs/>
          <w:sz w:val="20"/>
          <w:szCs w:val="20"/>
        </w:rPr>
        <w:t>Vhodné technické kontroly</w:t>
      </w:r>
    </w:p>
    <w:p w:rsidR="004A5008" w:rsidRPr="00CA138E" w:rsidRDefault="004A5008" w:rsidP="004A500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A138E">
        <w:rPr>
          <w:rFonts w:ascii="Times New Roman" w:hAnsi="Times New Roman" w:cs="Times New Roman"/>
          <w:bCs/>
          <w:sz w:val="20"/>
          <w:szCs w:val="20"/>
        </w:rPr>
        <w:t xml:space="preserve">Protože používání přiměřeného technického vybavení musí mít vždy přednost před osobními ochrannými prostředky, ujistěte se, že je pracoviště dobře větráno prostřednictvím účinné lokální ventilace. </w:t>
      </w:r>
    </w:p>
    <w:p w:rsidR="004A5008" w:rsidRPr="00CA138E" w:rsidRDefault="004A5008" w:rsidP="004A50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138E">
        <w:rPr>
          <w:rStyle w:val="jlqj4b"/>
          <w:rFonts w:ascii="Times New Roman" w:hAnsi="Times New Roman" w:cs="Times New Roman"/>
          <w:sz w:val="20"/>
          <w:szCs w:val="20"/>
        </w:rPr>
        <w:t>Pokud produkt může nebo musí přijít do styku nebo reakce s kyselinami, měla by být přijata vhodná technická a/nebo organizační opatření, aby se zabránilo tvorbě toxických a/nebo hořlavých plynů.</w:t>
      </w:r>
    </w:p>
    <w:p w:rsidR="00BD7A40" w:rsidRPr="00CA138E" w:rsidRDefault="00BD7A40" w:rsidP="00C97DB2">
      <w:pPr>
        <w:spacing w:before="120"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CA138E">
        <w:rPr>
          <w:rFonts w:ascii="Times New Roman" w:hAnsi="Times New Roman" w:cs="Times New Roman"/>
          <w:b/>
          <w:iCs/>
          <w:sz w:val="20"/>
          <w:szCs w:val="20"/>
        </w:rPr>
        <w:t>8.2.2</w:t>
      </w:r>
      <w:r w:rsidR="004C5921" w:rsidRPr="00CA138E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Pr="00CA138E">
        <w:rPr>
          <w:rFonts w:ascii="Times New Roman" w:hAnsi="Times New Roman" w:cs="Times New Roman"/>
          <w:b/>
          <w:iCs/>
          <w:sz w:val="20"/>
          <w:szCs w:val="20"/>
        </w:rPr>
        <w:t xml:space="preserve">Individuální ochranná opatření včetně osobních ochranných prostředků </w:t>
      </w:r>
    </w:p>
    <w:p w:rsidR="009A77BA" w:rsidRPr="00CA138E" w:rsidRDefault="009A77BA" w:rsidP="009A77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Nařízení vlády ČR č. 390/2021 Sb. a nařízení (EU) č. 2016/425 – veškeré osobní ochranné prostředky musí být v souladu s těmito nařízeními.</w:t>
      </w:r>
    </w:p>
    <w:p w:rsidR="00F14683" w:rsidRPr="00CA138E" w:rsidRDefault="00CE631E" w:rsidP="00C97D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 xml:space="preserve">Na pracovišti zajistit bezpečnostní sprchu a zařízení pro výplach očí (oční sprcha). </w:t>
      </w:r>
      <w:r w:rsidR="00F14683" w:rsidRPr="00CA138E">
        <w:rPr>
          <w:rFonts w:ascii="Times New Roman" w:hAnsi="Times New Roman" w:cs="Times New Roman"/>
          <w:bCs/>
          <w:sz w:val="20"/>
          <w:szCs w:val="20"/>
        </w:rPr>
        <w:t xml:space="preserve">Zajistit, aby s produktem pracovaly osoby používající osobní ochranné </w:t>
      </w:r>
      <w:r w:rsidR="000C13E0" w:rsidRPr="00CA138E">
        <w:rPr>
          <w:rFonts w:ascii="Times New Roman" w:hAnsi="Times New Roman" w:cs="Times New Roman"/>
          <w:sz w:val="20"/>
          <w:szCs w:val="20"/>
        </w:rPr>
        <w:t>prostředky</w:t>
      </w:r>
      <w:r w:rsidR="00F14683" w:rsidRPr="00CA138E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F14683" w:rsidRPr="00CA138E">
        <w:rPr>
          <w:rFonts w:ascii="Times New Roman" w:hAnsi="Times New Roman" w:cs="Times New Roman"/>
          <w:sz w:val="20"/>
          <w:szCs w:val="20"/>
        </w:rPr>
        <w:t>Zamezit kontaktu s kůží a očima. Nejíst, nepít a nekouřit při používání. Znečištěný, potřísněný oděv vysvléct. Znečištěný oděv před opětovným použitím vyprat. Před přestávkou a po skončení práce si důkladně umýt ruce a obličej vodou, případně se vysprchovat. Po práci použít ošetřující výrobky pro ochranu pokožky.</w:t>
      </w:r>
    </w:p>
    <w:p w:rsidR="008B62E5" w:rsidRPr="00CA138E" w:rsidRDefault="008B62E5" w:rsidP="00C97D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CA138E" w:rsidRPr="00CA138E" w:rsidTr="00C61B98">
        <w:tc>
          <w:tcPr>
            <w:tcW w:w="2268" w:type="dxa"/>
          </w:tcPr>
          <w:p w:rsidR="009A77BA" w:rsidRPr="00CA138E" w:rsidRDefault="009A77BA" w:rsidP="00BD7A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CA138E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lastRenderedPageBreak/>
              <w:t>Ochrana očí a obličeje:</w:t>
            </w:r>
          </w:p>
        </w:tc>
        <w:tc>
          <w:tcPr>
            <w:tcW w:w="6804" w:type="dxa"/>
          </w:tcPr>
          <w:p w:rsidR="009A77BA" w:rsidRPr="00CA138E" w:rsidRDefault="009A77BA" w:rsidP="00C23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Těsně přiléhající ochranné brýle (EN 166).</w:t>
            </w:r>
          </w:p>
        </w:tc>
      </w:tr>
      <w:tr w:rsidR="00CA138E" w:rsidRPr="00CA138E" w:rsidTr="00C61B98">
        <w:tc>
          <w:tcPr>
            <w:tcW w:w="2268" w:type="dxa"/>
          </w:tcPr>
          <w:p w:rsidR="009A77BA" w:rsidRPr="00CA138E" w:rsidRDefault="009A77BA" w:rsidP="00BD7A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CA138E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Ochrana kůže:</w:t>
            </w:r>
          </w:p>
        </w:tc>
        <w:tc>
          <w:tcPr>
            <w:tcW w:w="6804" w:type="dxa"/>
          </w:tcPr>
          <w:p w:rsidR="009A77BA" w:rsidRPr="00CA138E" w:rsidRDefault="009A77BA" w:rsidP="00C23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Ochrana rukou:</w:t>
            </w:r>
          </w:p>
          <w:p w:rsidR="009A77BA" w:rsidRPr="00CA138E" w:rsidRDefault="009A77BA" w:rsidP="00C23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Používat ochranné rukavice odolné výrobku, kategorie III (EN 374).</w:t>
            </w:r>
          </w:p>
          <w:p w:rsidR="009A77BA" w:rsidRPr="00CA138E" w:rsidRDefault="009A77BA" w:rsidP="00C23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Před každým použitím zkontrolovat těsnost rukavic. Materiál rukavic musí být nepropustný a odolný produktu. Odolnost materiálu rukavic se musí před použitím vyzkoušet. Ochranné rukavice by měli být vyměněny při prvních známkách opotřebení. Seznámit se s pokyny pro použití rukavic uváděnými výrobcem. </w:t>
            </w:r>
          </w:p>
          <w:p w:rsidR="009A77BA" w:rsidRPr="00CA138E" w:rsidRDefault="009A77BA" w:rsidP="00C23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Jiná ochrana:</w:t>
            </w:r>
          </w:p>
          <w:p w:rsidR="009A77BA" w:rsidRPr="00CA138E" w:rsidRDefault="009A77BA" w:rsidP="00C23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Profesionální ochranný oděv s dlouhými rukávy a bezpečnostní obuv kategorie II (EN 20344). </w:t>
            </w:r>
            <w:r w:rsidRPr="00CA138E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Po odstranění ochranného oděvu umýt tělo mýdlem a vodou.</w:t>
            </w:r>
          </w:p>
        </w:tc>
      </w:tr>
      <w:tr w:rsidR="00CA138E" w:rsidRPr="00CA138E" w:rsidTr="00C61B98">
        <w:tc>
          <w:tcPr>
            <w:tcW w:w="2268" w:type="dxa"/>
          </w:tcPr>
          <w:p w:rsidR="00CE631E" w:rsidRPr="00CA138E" w:rsidRDefault="00CE631E" w:rsidP="00BD7A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CA138E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Ochrana dýchacích cest:</w:t>
            </w:r>
          </w:p>
        </w:tc>
        <w:tc>
          <w:tcPr>
            <w:tcW w:w="6804" w:type="dxa"/>
          </w:tcPr>
          <w:p w:rsidR="00CE631E" w:rsidRPr="00CA138E" w:rsidRDefault="00CE631E" w:rsidP="00CE6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Při překročení mezních koncentrací použít </w:t>
            </w:r>
            <w:r w:rsidRPr="00CA138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masku s filtrem A, jehož třída (1, 2 nebo 3) musí být zvolena podle koncentrace látky (viz EN 14387). </w:t>
            </w:r>
          </w:p>
          <w:p w:rsidR="00CE631E" w:rsidRPr="00CA138E" w:rsidRDefault="00CE631E" w:rsidP="00CE6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Při nouzových pracích použít dýchací přístroj na stlačený vzduch s otevřeným okruhem (EN 137) nebo externí dýchací přístroj pro přívod vzduchu (EN 138). </w:t>
            </w:r>
          </w:p>
        </w:tc>
      </w:tr>
      <w:tr w:rsidR="00CA138E" w:rsidRPr="00CA138E" w:rsidTr="00C61B98">
        <w:tc>
          <w:tcPr>
            <w:tcW w:w="2268" w:type="dxa"/>
          </w:tcPr>
          <w:p w:rsidR="00BD7A40" w:rsidRPr="00CA138E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CA138E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Tepelné nebezpečí:</w:t>
            </w:r>
          </w:p>
        </w:tc>
        <w:tc>
          <w:tcPr>
            <w:tcW w:w="6804" w:type="dxa"/>
          </w:tcPr>
          <w:p w:rsidR="00BD7A40" w:rsidRPr="00CA138E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Není.</w:t>
            </w:r>
          </w:p>
        </w:tc>
      </w:tr>
    </w:tbl>
    <w:p w:rsidR="00BD7A40" w:rsidRPr="00CA138E" w:rsidRDefault="00BD7A40" w:rsidP="00C97DB2">
      <w:pPr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A138E">
        <w:rPr>
          <w:rFonts w:ascii="Times New Roman" w:hAnsi="Times New Roman" w:cs="Times New Roman"/>
          <w:b/>
          <w:sz w:val="20"/>
          <w:szCs w:val="20"/>
        </w:rPr>
        <w:t>8.2.3</w:t>
      </w:r>
      <w:r w:rsidR="004C5921" w:rsidRPr="00CA138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A138E">
        <w:rPr>
          <w:rFonts w:ascii="Times New Roman" w:hAnsi="Times New Roman" w:cs="Times New Roman"/>
          <w:b/>
          <w:sz w:val="20"/>
          <w:szCs w:val="20"/>
        </w:rPr>
        <w:t>Omezování expozice životního prostředí</w:t>
      </w:r>
    </w:p>
    <w:p w:rsidR="00C61B98" w:rsidRPr="00CA138E" w:rsidRDefault="00BD7A40" w:rsidP="00C61B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bCs/>
          <w:sz w:val="20"/>
          <w:szCs w:val="20"/>
        </w:rPr>
        <w:t>Viz zákon č. 201/2012 Sb. o ochraně ovzduší; viz zákon č. 254/2001 Sb. o vodách, ve znění pozdějších předpisů.</w:t>
      </w:r>
      <w:r w:rsidR="00C61B98" w:rsidRPr="00CA138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61B98" w:rsidRPr="00CA138E">
        <w:rPr>
          <w:rStyle w:val="jlqj4b"/>
          <w:rFonts w:ascii="Times New Roman" w:hAnsi="Times New Roman" w:cs="Times New Roman"/>
          <w:sz w:val="20"/>
          <w:szCs w:val="20"/>
        </w:rPr>
        <w:t>Emise vznikající výrobními procesy, včetně emisí generovaných ventilačním zařízením, by měly být kontrolovány s cílem zajistit dodržování předpisů v oblasti životního prostředí.</w:t>
      </w:r>
    </w:p>
    <w:p w:rsidR="002A23B3" w:rsidRPr="00CA138E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CA138E" w:rsidTr="00607662">
        <w:tc>
          <w:tcPr>
            <w:tcW w:w="9104" w:type="dxa"/>
          </w:tcPr>
          <w:p w:rsidR="002A23B3" w:rsidRPr="00CA138E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9: Fyzikální a chemické vlastnosti  </w:t>
            </w:r>
          </w:p>
        </w:tc>
      </w:tr>
    </w:tbl>
    <w:p w:rsidR="00BD7A40" w:rsidRPr="00CA138E" w:rsidRDefault="00BD7A40" w:rsidP="00C97DB2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CA138E">
        <w:rPr>
          <w:rFonts w:ascii="Times New Roman" w:hAnsi="Times New Roman" w:cs="Times New Roman"/>
          <w:b/>
          <w:bCs/>
        </w:rPr>
        <w:t>9.1</w:t>
      </w:r>
      <w:r w:rsidR="008B62E5" w:rsidRPr="00CA138E">
        <w:rPr>
          <w:rFonts w:ascii="Times New Roman" w:hAnsi="Times New Roman" w:cs="Times New Roman"/>
          <w:b/>
          <w:bCs/>
        </w:rPr>
        <w:t>.</w:t>
      </w:r>
      <w:r w:rsidR="004C5921" w:rsidRPr="00CA138E">
        <w:rPr>
          <w:rFonts w:ascii="Times New Roman" w:hAnsi="Times New Roman" w:cs="Times New Roman"/>
          <w:b/>
          <w:bCs/>
        </w:rPr>
        <w:t xml:space="preserve"> </w:t>
      </w:r>
      <w:r w:rsidRPr="00CA138E">
        <w:rPr>
          <w:rFonts w:ascii="Times New Roman" w:hAnsi="Times New Roman" w:cs="Times New Roman"/>
          <w:b/>
          <w:bCs/>
        </w:rPr>
        <w:t xml:space="preserve">Informace o základních fyzikálních a chemických vlastnostech </w:t>
      </w:r>
    </w:p>
    <w:tbl>
      <w:tblPr>
        <w:tblW w:w="907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80"/>
        <w:gridCol w:w="5492"/>
      </w:tblGrid>
      <w:tr w:rsidR="000324E2" w:rsidRPr="00CA138E" w:rsidTr="00BD7A40">
        <w:tc>
          <w:tcPr>
            <w:tcW w:w="3580" w:type="dxa"/>
          </w:tcPr>
          <w:p w:rsidR="00A52E96" w:rsidRPr="00CA138E" w:rsidRDefault="00A52E96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Skupenství</w:t>
            </w:r>
          </w:p>
        </w:tc>
        <w:tc>
          <w:tcPr>
            <w:tcW w:w="5492" w:type="dxa"/>
          </w:tcPr>
          <w:p w:rsidR="00A52E96" w:rsidRPr="00CA138E" w:rsidRDefault="00F11327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Viskózní k</w:t>
            </w:r>
            <w:r w:rsidRPr="003E30B8">
              <w:rPr>
                <w:rFonts w:ascii="Times New Roman" w:hAnsi="Times New Roman" w:cs="Times New Roman"/>
                <w:sz w:val="20"/>
                <w:szCs w:val="20"/>
              </w:rPr>
              <w:t>apalina</w:t>
            </w:r>
          </w:p>
        </w:tc>
      </w:tr>
      <w:tr w:rsidR="000324E2" w:rsidRPr="00CA138E" w:rsidTr="00BD7A40">
        <w:tc>
          <w:tcPr>
            <w:tcW w:w="3580" w:type="dxa"/>
          </w:tcPr>
          <w:p w:rsidR="00A52E96" w:rsidRPr="00CA138E" w:rsidRDefault="00A52E96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Barva</w:t>
            </w:r>
          </w:p>
        </w:tc>
        <w:tc>
          <w:tcPr>
            <w:tcW w:w="5492" w:type="dxa"/>
          </w:tcPr>
          <w:p w:rsidR="00A52E96" w:rsidRPr="00CA138E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Bezbarvá </w:t>
            </w:r>
          </w:p>
        </w:tc>
      </w:tr>
      <w:tr w:rsidR="000324E2" w:rsidRPr="00CA138E" w:rsidTr="00BD7A40">
        <w:tc>
          <w:tcPr>
            <w:tcW w:w="3580" w:type="dxa"/>
          </w:tcPr>
          <w:p w:rsidR="00A52E96" w:rsidRPr="00CA138E" w:rsidRDefault="00A52E96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Zápach</w:t>
            </w:r>
          </w:p>
        </w:tc>
        <w:tc>
          <w:tcPr>
            <w:tcW w:w="5492" w:type="dxa"/>
          </w:tcPr>
          <w:p w:rsidR="00A52E96" w:rsidRPr="00CA138E" w:rsidRDefault="00CE631E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Typický, chlorový</w:t>
            </w:r>
          </w:p>
        </w:tc>
      </w:tr>
      <w:tr w:rsidR="003E30B8" w:rsidRPr="00CA138E" w:rsidTr="00BD7A40">
        <w:tc>
          <w:tcPr>
            <w:tcW w:w="3580" w:type="dxa"/>
          </w:tcPr>
          <w:p w:rsidR="003E30B8" w:rsidRPr="00CA138E" w:rsidRDefault="003E30B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Bod tání/bod tuhnutí</w:t>
            </w:r>
          </w:p>
        </w:tc>
        <w:tc>
          <w:tcPr>
            <w:tcW w:w="5492" w:type="dxa"/>
          </w:tcPr>
          <w:p w:rsidR="003E30B8" w:rsidRPr="00CA138E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Není k dispozici</w:t>
            </w:r>
          </w:p>
        </w:tc>
      </w:tr>
      <w:tr w:rsidR="003E30B8" w:rsidRPr="00CA138E" w:rsidTr="00BD7A40">
        <w:tc>
          <w:tcPr>
            <w:tcW w:w="3580" w:type="dxa"/>
          </w:tcPr>
          <w:p w:rsidR="003E30B8" w:rsidRPr="00CA138E" w:rsidRDefault="003E30B8" w:rsidP="00BD7A40">
            <w:pPr>
              <w:spacing w:after="0" w:line="240" w:lineRule="auto"/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 xml:space="preserve">Bod varu nebo počáteční bod varu </w:t>
            </w:r>
          </w:p>
          <w:p w:rsidR="003E30B8" w:rsidRPr="00CA138E" w:rsidRDefault="003E30B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a rozmezí bodu varu</w:t>
            </w:r>
          </w:p>
        </w:tc>
        <w:tc>
          <w:tcPr>
            <w:tcW w:w="5492" w:type="dxa"/>
          </w:tcPr>
          <w:p w:rsidR="003E30B8" w:rsidRPr="00CA138E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Není k dispozici</w:t>
            </w:r>
          </w:p>
        </w:tc>
      </w:tr>
      <w:tr w:rsidR="000324E2" w:rsidRPr="00CA138E" w:rsidTr="00BD7A40">
        <w:tc>
          <w:tcPr>
            <w:tcW w:w="3580" w:type="dxa"/>
          </w:tcPr>
          <w:p w:rsidR="003F4D88" w:rsidRPr="00CA138E" w:rsidRDefault="003F4D8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Hořlavost</w:t>
            </w:r>
          </w:p>
        </w:tc>
        <w:tc>
          <w:tcPr>
            <w:tcW w:w="5492" w:type="dxa"/>
          </w:tcPr>
          <w:p w:rsidR="003F4D88" w:rsidRPr="00CA138E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Nehořlavý, protože neobsahuje hořlavé látky</w:t>
            </w:r>
          </w:p>
        </w:tc>
      </w:tr>
      <w:tr w:rsidR="000324E2" w:rsidRPr="00CA138E" w:rsidTr="00BD7A40">
        <w:tc>
          <w:tcPr>
            <w:tcW w:w="3580" w:type="dxa"/>
          </w:tcPr>
          <w:p w:rsidR="003F4D88" w:rsidRPr="00CA138E" w:rsidRDefault="003F4D8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Dolní a horní mezní hodnota výbušnosti</w:t>
            </w:r>
          </w:p>
        </w:tc>
        <w:tc>
          <w:tcPr>
            <w:tcW w:w="5492" w:type="dxa"/>
          </w:tcPr>
          <w:p w:rsidR="003F4D88" w:rsidRPr="00CA138E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Nevýbušný, protože neobsahuje výbušné látky</w:t>
            </w:r>
          </w:p>
        </w:tc>
      </w:tr>
      <w:tr w:rsidR="000324E2" w:rsidRPr="00CA138E" w:rsidTr="00BD7A40">
        <w:tc>
          <w:tcPr>
            <w:tcW w:w="3580" w:type="dxa"/>
          </w:tcPr>
          <w:p w:rsidR="003F4D88" w:rsidRPr="00CA138E" w:rsidRDefault="003F4D8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Bod vzplanutí</w:t>
            </w:r>
          </w:p>
        </w:tc>
        <w:tc>
          <w:tcPr>
            <w:tcW w:w="5492" w:type="dxa"/>
          </w:tcPr>
          <w:p w:rsidR="003F4D88" w:rsidRPr="00CA138E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Není aplikovatelný</w:t>
            </w:r>
            <w:r w:rsidR="00CE631E" w:rsidRPr="00CA138E">
              <w:rPr>
                <w:rFonts w:ascii="Times New Roman" w:hAnsi="Times New Roman" w:cs="Times New Roman"/>
                <w:sz w:val="20"/>
                <w:szCs w:val="20"/>
              </w:rPr>
              <w:t>, protože neobsahuje hořlavé látky</w:t>
            </w:r>
          </w:p>
        </w:tc>
      </w:tr>
      <w:tr w:rsidR="003E30B8" w:rsidRPr="00CA138E" w:rsidTr="00BD7A40">
        <w:tc>
          <w:tcPr>
            <w:tcW w:w="3580" w:type="dxa"/>
          </w:tcPr>
          <w:p w:rsidR="003E30B8" w:rsidRPr="00CA138E" w:rsidRDefault="003E30B8" w:rsidP="00A52E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Teplota samovznícení</w:t>
            </w:r>
          </w:p>
        </w:tc>
        <w:tc>
          <w:tcPr>
            <w:tcW w:w="5492" w:type="dxa"/>
          </w:tcPr>
          <w:p w:rsidR="003E30B8" w:rsidRPr="00CA138E" w:rsidRDefault="00CE631E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Není aplikován</w:t>
            </w:r>
          </w:p>
        </w:tc>
      </w:tr>
      <w:tr w:rsidR="003E30B8" w:rsidRPr="00CA138E" w:rsidTr="00BD7A40">
        <w:tc>
          <w:tcPr>
            <w:tcW w:w="3580" w:type="dxa"/>
          </w:tcPr>
          <w:p w:rsidR="003E30B8" w:rsidRPr="00CA138E" w:rsidRDefault="003E30B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Teplota rozkladu</w:t>
            </w:r>
          </w:p>
        </w:tc>
        <w:tc>
          <w:tcPr>
            <w:tcW w:w="5492" w:type="dxa"/>
          </w:tcPr>
          <w:p w:rsidR="003E30B8" w:rsidRPr="00CA138E" w:rsidRDefault="00CE631E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Není aplikován</w:t>
            </w:r>
          </w:p>
          <w:p w:rsidR="004C6338" w:rsidRPr="00CA138E" w:rsidRDefault="004C6338" w:rsidP="004C63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180 °C (chloritan sodný)</w:t>
            </w:r>
          </w:p>
        </w:tc>
      </w:tr>
      <w:tr w:rsidR="000324E2" w:rsidRPr="00CA138E" w:rsidTr="00BD7A40">
        <w:tc>
          <w:tcPr>
            <w:tcW w:w="3580" w:type="dxa"/>
          </w:tcPr>
          <w:p w:rsidR="00A52E96" w:rsidRPr="00CA138E" w:rsidRDefault="00A52E96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pH</w:t>
            </w:r>
          </w:p>
        </w:tc>
        <w:tc>
          <w:tcPr>
            <w:tcW w:w="5492" w:type="dxa"/>
          </w:tcPr>
          <w:p w:rsidR="00A52E96" w:rsidRPr="00CA138E" w:rsidRDefault="00CE631E" w:rsidP="004A4C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 w:rsidR="004A4C90" w:rsidRPr="00CA13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61B98"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4C90" w:rsidRPr="00CA13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A4C90" w:rsidRPr="00CA13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61B98"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24E2" w:rsidRPr="00CA138E" w:rsidTr="00BD7A40">
        <w:tc>
          <w:tcPr>
            <w:tcW w:w="3580" w:type="dxa"/>
          </w:tcPr>
          <w:p w:rsidR="003F4D88" w:rsidRPr="00CA138E" w:rsidRDefault="003F4D8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Kinematická viskozita</w:t>
            </w:r>
          </w:p>
        </w:tc>
        <w:tc>
          <w:tcPr>
            <w:tcW w:w="5492" w:type="dxa"/>
          </w:tcPr>
          <w:p w:rsidR="003F4D88" w:rsidRPr="00CA138E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Nevztahuje se</w:t>
            </w:r>
          </w:p>
        </w:tc>
      </w:tr>
      <w:tr w:rsidR="000324E2" w:rsidRPr="00CA138E" w:rsidTr="00BD7A40">
        <w:tc>
          <w:tcPr>
            <w:tcW w:w="3580" w:type="dxa"/>
          </w:tcPr>
          <w:p w:rsidR="003F4D88" w:rsidRPr="00CA138E" w:rsidRDefault="003F4D8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Rozpustnost</w:t>
            </w:r>
          </w:p>
        </w:tc>
        <w:tc>
          <w:tcPr>
            <w:tcW w:w="5492" w:type="dxa"/>
          </w:tcPr>
          <w:p w:rsidR="003F4D88" w:rsidRPr="00CA138E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Ve vodě rozpustný </w:t>
            </w:r>
          </w:p>
        </w:tc>
      </w:tr>
      <w:tr w:rsidR="003E30B8" w:rsidRPr="00CA138E" w:rsidTr="00BD7A40">
        <w:tc>
          <w:tcPr>
            <w:tcW w:w="3580" w:type="dxa"/>
          </w:tcPr>
          <w:p w:rsidR="003E30B8" w:rsidRPr="00CA138E" w:rsidRDefault="003E30B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Rozdělovací koeficient n-oktanol/voda (logaritmická hodnota)</w:t>
            </w:r>
          </w:p>
        </w:tc>
        <w:tc>
          <w:tcPr>
            <w:tcW w:w="5492" w:type="dxa"/>
          </w:tcPr>
          <w:p w:rsidR="003E30B8" w:rsidRPr="00CA138E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Není k dispozici</w:t>
            </w:r>
          </w:p>
        </w:tc>
      </w:tr>
      <w:tr w:rsidR="003E30B8" w:rsidRPr="00CA138E" w:rsidTr="00BD7A40">
        <w:tc>
          <w:tcPr>
            <w:tcW w:w="3580" w:type="dxa"/>
          </w:tcPr>
          <w:p w:rsidR="003E30B8" w:rsidRPr="00CA138E" w:rsidRDefault="003E30B8" w:rsidP="00A52E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Tlak páry</w:t>
            </w:r>
          </w:p>
        </w:tc>
        <w:tc>
          <w:tcPr>
            <w:tcW w:w="5492" w:type="dxa"/>
          </w:tcPr>
          <w:p w:rsidR="003E30B8" w:rsidRPr="00CA138E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Není k dispozici</w:t>
            </w:r>
          </w:p>
        </w:tc>
      </w:tr>
      <w:tr w:rsidR="000324E2" w:rsidRPr="00CA138E" w:rsidTr="00BD7A40">
        <w:tc>
          <w:tcPr>
            <w:tcW w:w="3580" w:type="dxa"/>
          </w:tcPr>
          <w:p w:rsidR="003F4D88" w:rsidRPr="00CA138E" w:rsidRDefault="003F4D8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Hustota a/nebo relativní hustota</w:t>
            </w:r>
          </w:p>
        </w:tc>
        <w:tc>
          <w:tcPr>
            <w:tcW w:w="5492" w:type="dxa"/>
          </w:tcPr>
          <w:p w:rsidR="003F4D88" w:rsidRPr="00CA138E" w:rsidRDefault="00CE631E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Není k dispozici</w:t>
            </w:r>
          </w:p>
        </w:tc>
      </w:tr>
      <w:tr w:rsidR="000324E2" w:rsidRPr="00CA138E" w:rsidTr="00BD7A40">
        <w:tc>
          <w:tcPr>
            <w:tcW w:w="3580" w:type="dxa"/>
          </w:tcPr>
          <w:p w:rsidR="003F4D88" w:rsidRPr="00CA138E" w:rsidRDefault="003F4D88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Relativní hustota páry</w:t>
            </w:r>
          </w:p>
        </w:tc>
        <w:tc>
          <w:tcPr>
            <w:tcW w:w="5492" w:type="dxa"/>
          </w:tcPr>
          <w:p w:rsidR="003F4D88" w:rsidRPr="00CA138E" w:rsidRDefault="003E30B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Style w:val="q4iawc"/>
                <w:rFonts w:ascii="Times New Roman" w:hAnsi="Times New Roman" w:cs="Times New Roman"/>
                <w:sz w:val="20"/>
                <w:szCs w:val="20"/>
              </w:rPr>
              <w:t>Není k dispozici</w:t>
            </w:r>
          </w:p>
        </w:tc>
      </w:tr>
      <w:tr w:rsidR="000324E2" w:rsidRPr="00CA138E" w:rsidTr="00BD7A40">
        <w:tc>
          <w:tcPr>
            <w:tcW w:w="3580" w:type="dxa"/>
          </w:tcPr>
          <w:p w:rsidR="00A52E96" w:rsidRPr="00CA138E" w:rsidRDefault="00A52E96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Style w:val="oj-italic"/>
                <w:rFonts w:ascii="Times New Roman" w:hAnsi="Times New Roman" w:cs="Times New Roman"/>
                <w:sz w:val="20"/>
                <w:szCs w:val="20"/>
              </w:rPr>
              <w:t>Charakteristiky částic</w:t>
            </w:r>
          </w:p>
        </w:tc>
        <w:tc>
          <w:tcPr>
            <w:tcW w:w="5492" w:type="dxa"/>
          </w:tcPr>
          <w:p w:rsidR="00A52E96" w:rsidRPr="00CA138E" w:rsidRDefault="003F4D88" w:rsidP="003E30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Nevztahuje se </w:t>
            </w:r>
            <w:r w:rsidR="003E30B8" w:rsidRPr="00CA138E">
              <w:rPr>
                <w:rFonts w:ascii="Times New Roman" w:hAnsi="Times New Roman" w:cs="Times New Roman"/>
                <w:sz w:val="20"/>
                <w:szCs w:val="20"/>
              </w:rPr>
              <w:t>(kapalina)</w:t>
            </w:r>
          </w:p>
        </w:tc>
      </w:tr>
    </w:tbl>
    <w:p w:rsidR="00BD7A40" w:rsidRPr="00CA138E" w:rsidRDefault="00BD7A40" w:rsidP="00C97DB2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CA138E">
        <w:rPr>
          <w:rFonts w:ascii="Times New Roman" w:hAnsi="Times New Roman" w:cs="Times New Roman"/>
          <w:b/>
          <w:bCs/>
        </w:rPr>
        <w:t>9.2</w:t>
      </w:r>
      <w:r w:rsidR="008B62E5" w:rsidRPr="00CA138E">
        <w:rPr>
          <w:rFonts w:ascii="Times New Roman" w:hAnsi="Times New Roman" w:cs="Times New Roman"/>
          <w:b/>
          <w:bCs/>
        </w:rPr>
        <w:t>.</w:t>
      </w:r>
      <w:r w:rsidR="004C5921" w:rsidRPr="00CA138E">
        <w:rPr>
          <w:rFonts w:ascii="Times New Roman" w:hAnsi="Times New Roman" w:cs="Times New Roman"/>
          <w:b/>
          <w:bCs/>
        </w:rPr>
        <w:t xml:space="preserve"> </w:t>
      </w:r>
      <w:r w:rsidRPr="00CA138E">
        <w:rPr>
          <w:rFonts w:ascii="Times New Roman" w:hAnsi="Times New Roman" w:cs="Times New Roman"/>
          <w:b/>
          <w:bCs/>
        </w:rPr>
        <w:t>Další informace</w:t>
      </w:r>
    </w:p>
    <w:tbl>
      <w:tblPr>
        <w:tblW w:w="907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80"/>
        <w:gridCol w:w="5492"/>
      </w:tblGrid>
      <w:tr w:rsidR="00BD7A40" w:rsidRPr="00CA138E" w:rsidTr="00BD7A40">
        <w:tc>
          <w:tcPr>
            <w:tcW w:w="3580" w:type="dxa"/>
          </w:tcPr>
          <w:p w:rsidR="00BD7A40" w:rsidRPr="00CA138E" w:rsidRDefault="002B6F72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Data nejsou k dispozici</w:t>
            </w:r>
          </w:p>
        </w:tc>
        <w:tc>
          <w:tcPr>
            <w:tcW w:w="5492" w:type="dxa"/>
          </w:tcPr>
          <w:p w:rsidR="00BD7A40" w:rsidRPr="00CA138E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23B3" w:rsidRPr="00CA138E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CA138E" w:rsidTr="00607662">
        <w:tc>
          <w:tcPr>
            <w:tcW w:w="9104" w:type="dxa"/>
          </w:tcPr>
          <w:p w:rsidR="002A23B3" w:rsidRPr="00CA138E" w:rsidRDefault="009A708D" w:rsidP="009A70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10: Stálost a reaktivita </w:t>
            </w:r>
          </w:p>
        </w:tc>
      </w:tr>
    </w:tbl>
    <w:p w:rsidR="00BD7A40" w:rsidRPr="00CA138E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CA138E">
        <w:rPr>
          <w:rFonts w:ascii="Times New Roman" w:hAnsi="Times New Roman" w:cs="Times New Roman"/>
          <w:b/>
        </w:rPr>
        <w:t>10.1</w:t>
      </w:r>
      <w:r w:rsidR="008B62E5" w:rsidRPr="00CA138E">
        <w:rPr>
          <w:rFonts w:ascii="Times New Roman" w:hAnsi="Times New Roman" w:cs="Times New Roman"/>
          <w:b/>
        </w:rPr>
        <w:t>.</w:t>
      </w:r>
      <w:r w:rsidR="004C5921" w:rsidRPr="00CA138E">
        <w:rPr>
          <w:rFonts w:ascii="Times New Roman" w:hAnsi="Times New Roman" w:cs="Times New Roman"/>
          <w:b/>
        </w:rPr>
        <w:t xml:space="preserve"> </w:t>
      </w:r>
      <w:r w:rsidRPr="00CA138E">
        <w:rPr>
          <w:rFonts w:ascii="Times New Roman" w:hAnsi="Times New Roman" w:cs="Times New Roman"/>
          <w:b/>
        </w:rPr>
        <w:t>Reaktivita</w:t>
      </w: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Za běžných podmínek nejsou známa žádná zvláštní rizika reakce s jinými látkami.</w:t>
      </w:r>
    </w:p>
    <w:p w:rsidR="00BD7A40" w:rsidRPr="00CA138E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CA138E">
        <w:rPr>
          <w:rFonts w:ascii="Times New Roman" w:hAnsi="Times New Roman" w:cs="Times New Roman"/>
          <w:b/>
        </w:rPr>
        <w:t>10.2</w:t>
      </w:r>
      <w:r w:rsidR="008B62E5" w:rsidRPr="00CA138E">
        <w:rPr>
          <w:rFonts w:ascii="Times New Roman" w:hAnsi="Times New Roman" w:cs="Times New Roman"/>
          <w:b/>
        </w:rPr>
        <w:t>.</w:t>
      </w:r>
      <w:r w:rsidR="004C5921" w:rsidRPr="00CA138E">
        <w:rPr>
          <w:rFonts w:ascii="Times New Roman" w:hAnsi="Times New Roman" w:cs="Times New Roman"/>
          <w:b/>
        </w:rPr>
        <w:t xml:space="preserve"> </w:t>
      </w:r>
      <w:r w:rsidRPr="00CA138E">
        <w:rPr>
          <w:rFonts w:ascii="Times New Roman" w:hAnsi="Times New Roman" w:cs="Times New Roman"/>
          <w:b/>
        </w:rPr>
        <w:t>Chemická stabilita</w:t>
      </w: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Za běžných podmínek okolního prostředí při skladování a manipulaci je stabilní.</w:t>
      </w:r>
    </w:p>
    <w:p w:rsidR="004A4C90" w:rsidRPr="00CA138E" w:rsidRDefault="004A4C9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7A40" w:rsidRPr="00CA138E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CA138E">
        <w:rPr>
          <w:rFonts w:ascii="Times New Roman" w:hAnsi="Times New Roman" w:cs="Times New Roman"/>
          <w:b/>
        </w:rPr>
        <w:lastRenderedPageBreak/>
        <w:t>10.3</w:t>
      </w:r>
      <w:r w:rsidR="008B62E5" w:rsidRPr="00CA138E">
        <w:rPr>
          <w:rFonts w:ascii="Times New Roman" w:hAnsi="Times New Roman" w:cs="Times New Roman"/>
          <w:b/>
        </w:rPr>
        <w:t>.</w:t>
      </w:r>
      <w:r w:rsidRPr="00CA138E">
        <w:rPr>
          <w:rFonts w:ascii="Times New Roman" w:hAnsi="Times New Roman" w:cs="Times New Roman"/>
          <w:b/>
        </w:rPr>
        <w:t xml:space="preserve"> Možnost nebezpečných reakcí</w:t>
      </w:r>
    </w:p>
    <w:p w:rsidR="004C6338" w:rsidRPr="00CA138E" w:rsidRDefault="004C6338" w:rsidP="004C63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Uvolňuje vysoce toxický plyn při styku s kyselinami.</w:t>
      </w:r>
    </w:p>
    <w:p w:rsidR="00BD7A40" w:rsidRPr="00CA138E" w:rsidRDefault="00BD7A40" w:rsidP="00D43DCF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CA138E">
        <w:rPr>
          <w:rFonts w:ascii="Times New Roman" w:hAnsi="Times New Roman" w:cs="Times New Roman"/>
          <w:b/>
          <w:bCs/>
        </w:rPr>
        <w:t>10.4</w:t>
      </w:r>
      <w:r w:rsidR="008B62E5" w:rsidRPr="00CA138E">
        <w:rPr>
          <w:rFonts w:ascii="Times New Roman" w:hAnsi="Times New Roman" w:cs="Times New Roman"/>
          <w:b/>
          <w:bCs/>
        </w:rPr>
        <w:t>.</w:t>
      </w:r>
      <w:r w:rsidR="004C5921" w:rsidRPr="00CA138E">
        <w:rPr>
          <w:rFonts w:ascii="Times New Roman" w:hAnsi="Times New Roman" w:cs="Times New Roman"/>
          <w:b/>
          <w:bCs/>
        </w:rPr>
        <w:t xml:space="preserve"> </w:t>
      </w:r>
      <w:r w:rsidRPr="00CA138E">
        <w:rPr>
          <w:rFonts w:ascii="Times New Roman" w:hAnsi="Times New Roman" w:cs="Times New Roman"/>
          <w:b/>
          <w:bCs/>
        </w:rPr>
        <w:t>Podmínky, kterým je třeba zabránit</w:t>
      </w:r>
    </w:p>
    <w:p w:rsidR="00BD7A40" w:rsidRPr="00CA138E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Žádné zvláštní podmínky nejsou vyžadovány.</w:t>
      </w:r>
    </w:p>
    <w:p w:rsidR="00BD7A40" w:rsidRPr="00CA138E" w:rsidRDefault="00BD7A40" w:rsidP="00D43DCF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CA138E">
        <w:rPr>
          <w:rFonts w:ascii="Times New Roman" w:hAnsi="Times New Roman" w:cs="Times New Roman"/>
          <w:b/>
          <w:bCs/>
        </w:rPr>
        <w:t>10.5</w:t>
      </w:r>
      <w:r w:rsidR="008B62E5" w:rsidRPr="00CA138E">
        <w:rPr>
          <w:rFonts w:ascii="Times New Roman" w:hAnsi="Times New Roman" w:cs="Times New Roman"/>
          <w:b/>
          <w:bCs/>
        </w:rPr>
        <w:t>.</w:t>
      </w:r>
      <w:r w:rsidR="004C5921" w:rsidRPr="00CA138E">
        <w:rPr>
          <w:rFonts w:ascii="Times New Roman" w:hAnsi="Times New Roman" w:cs="Times New Roman"/>
          <w:b/>
          <w:bCs/>
        </w:rPr>
        <w:t xml:space="preserve"> </w:t>
      </w:r>
      <w:r w:rsidRPr="00CA138E">
        <w:rPr>
          <w:rFonts w:ascii="Times New Roman" w:hAnsi="Times New Roman" w:cs="Times New Roman"/>
          <w:b/>
          <w:bCs/>
        </w:rPr>
        <w:t>Neslučitelné materiály</w:t>
      </w:r>
    </w:p>
    <w:p w:rsidR="00BD7A40" w:rsidRPr="00CA138E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Nejsou známy.</w:t>
      </w:r>
    </w:p>
    <w:p w:rsidR="00BD7A40" w:rsidRPr="00CA138E" w:rsidRDefault="00BD7A40" w:rsidP="00D43DCF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CA138E">
        <w:rPr>
          <w:rFonts w:ascii="Times New Roman" w:hAnsi="Times New Roman" w:cs="Times New Roman"/>
          <w:b/>
          <w:bCs/>
        </w:rPr>
        <w:t>10.6</w:t>
      </w:r>
      <w:r w:rsidR="008B62E5" w:rsidRPr="00CA138E">
        <w:rPr>
          <w:rFonts w:ascii="Times New Roman" w:hAnsi="Times New Roman" w:cs="Times New Roman"/>
          <w:b/>
          <w:bCs/>
        </w:rPr>
        <w:t>.</w:t>
      </w:r>
      <w:r w:rsidR="004C5921" w:rsidRPr="00CA138E">
        <w:rPr>
          <w:rFonts w:ascii="Times New Roman" w:hAnsi="Times New Roman" w:cs="Times New Roman"/>
          <w:b/>
          <w:bCs/>
        </w:rPr>
        <w:t xml:space="preserve"> </w:t>
      </w:r>
      <w:r w:rsidRPr="00CA138E">
        <w:rPr>
          <w:rFonts w:ascii="Times New Roman" w:hAnsi="Times New Roman" w:cs="Times New Roman"/>
          <w:b/>
          <w:bCs/>
        </w:rPr>
        <w:t>Nebezpečné produkty rozkladu</w:t>
      </w:r>
    </w:p>
    <w:p w:rsidR="00BD7A40" w:rsidRPr="00CA138E" w:rsidRDefault="004C633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Chloritan sodný: může uvolnit chlorečnan sodný, chlorid sodný.</w:t>
      </w:r>
    </w:p>
    <w:p w:rsidR="002A23B3" w:rsidRPr="00CA138E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CA138E" w:rsidTr="00607662">
        <w:tc>
          <w:tcPr>
            <w:tcW w:w="9104" w:type="dxa"/>
          </w:tcPr>
          <w:p w:rsidR="002A23B3" w:rsidRPr="00CA138E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11: Toxikologické informace </w:t>
            </w:r>
          </w:p>
        </w:tc>
      </w:tr>
    </w:tbl>
    <w:p w:rsidR="00BD7A40" w:rsidRPr="00CA138E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CA138E">
        <w:rPr>
          <w:rFonts w:ascii="Times New Roman" w:hAnsi="Times New Roman" w:cs="Times New Roman"/>
          <w:b/>
        </w:rPr>
        <w:t>11.1</w:t>
      </w:r>
      <w:r w:rsidR="008B62E5" w:rsidRPr="00CA138E">
        <w:rPr>
          <w:rFonts w:ascii="Times New Roman" w:hAnsi="Times New Roman" w:cs="Times New Roman"/>
          <w:b/>
        </w:rPr>
        <w:t>.</w:t>
      </w:r>
      <w:r w:rsidR="004C5921" w:rsidRPr="00CA138E">
        <w:rPr>
          <w:rFonts w:ascii="Times New Roman" w:hAnsi="Times New Roman" w:cs="Times New Roman"/>
          <w:b/>
        </w:rPr>
        <w:t xml:space="preserve"> </w:t>
      </w:r>
      <w:r w:rsidR="008B62E5" w:rsidRPr="00CA138E">
        <w:rPr>
          <w:rFonts w:ascii="Times New Roman" w:hAnsi="Times New Roman" w:cs="Times New Roman"/>
          <w:b/>
        </w:rPr>
        <w:t>Informace o třídách nebezpečnosti vymezených v nařízení (ES) č. 1272/2008</w:t>
      </w:r>
    </w:p>
    <w:p w:rsidR="003F4D88" w:rsidRPr="00CA138E" w:rsidRDefault="003F4D88" w:rsidP="00BD7A40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  <w:u w:val="single"/>
        </w:rPr>
      </w:pPr>
      <w:r w:rsidRPr="00CA138E">
        <w:rPr>
          <w:rStyle w:val="jlqj4b"/>
          <w:rFonts w:ascii="Times New Roman" w:hAnsi="Times New Roman" w:cs="Times New Roman"/>
          <w:sz w:val="20"/>
          <w:szCs w:val="20"/>
          <w:u w:val="single"/>
        </w:rPr>
        <w:t xml:space="preserve">Metabolismus, </w:t>
      </w:r>
      <w:proofErr w:type="spellStart"/>
      <w:r w:rsidRPr="00CA138E">
        <w:rPr>
          <w:rStyle w:val="jlqj4b"/>
          <w:rFonts w:ascii="Times New Roman" w:hAnsi="Times New Roman" w:cs="Times New Roman"/>
          <w:sz w:val="20"/>
          <w:szCs w:val="20"/>
          <w:u w:val="single"/>
        </w:rPr>
        <w:t>toxikokinetika</w:t>
      </w:r>
      <w:proofErr w:type="spellEnd"/>
      <w:r w:rsidRPr="00CA138E">
        <w:rPr>
          <w:rStyle w:val="jlqj4b"/>
          <w:rFonts w:ascii="Times New Roman" w:hAnsi="Times New Roman" w:cs="Times New Roman"/>
          <w:sz w:val="20"/>
          <w:szCs w:val="20"/>
          <w:u w:val="single"/>
        </w:rPr>
        <w:t xml:space="preserve">, mechanismus účinku a další informace </w:t>
      </w:r>
    </w:p>
    <w:p w:rsidR="003F4D88" w:rsidRPr="00CA138E" w:rsidRDefault="003F4D88" w:rsidP="00BD7A40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</w:rPr>
      </w:pPr>
      <w:r w:rsidRPr="00CA138E">
        <w:rPr>
          <w:rStyle w:val="jlqj4b"/>
          <w:rFonts w:ascii="Times New Roman" w:hAnsi="Times New Roman" w:cs="Times New Roman"/>
          <w:sz w:val="20"/>
          <w:szCs w:val="20"/>
        </w:rPr>
        <w:t xml:space="preserve">Informace nejsou k dispozici. </w:t>
      </w:r>
    </w:p>
    <w:p w:rsidR="003F4D88" w:rsidRPr="00CA138E" w:rsidRDefault="003F4D88" w:rsidP="00BD7A40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  <w:u w:val="single"/>
        </w:rPr>
      </w:pPr>
      <w:r w:rsidRPr="00CA138E">
        <w:rPr>
          <w:rStyle w:val="jlqj4b"/>
          <w:rFonts w:ascii="Times New Roman" w:hAnsi="Times New Roman" w:cs="Times New Roman"/>
          <w:sz w:val="20"/>
          <w:szCs w:val="20"/>
          <w:u w:val="single"/>
        </w:rPr>
        <w:t xml:space="preserve">Informace o pravděpodobných cestách expozice </w:t>
      </w:r>
    </w:p>
    <w:p w:rsidR="003F4D88" w:rsidRPr="00CA138E" w:rsidRDefault="003F4D88" w:rsidP="00BD7A40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</w:rPr>
      </w:pPr>
      <w:r w:rsidRPr="00CA138E">
        <w:rPr>
          <w:rStyle w:val="jlqj4b"/>
          <w:rFonts w:ascii="Times New Roman" w:hAnsi="Times New Roman" w:cs="Times New Roman"/>
          <w:sz w:val="20"/>
          <w:szCs w:val="20"/>
        </w:rPr>
        <w:t xml:space="preserve">Informace nejsou k dispozici. </w:t>
      </w:r>
    </w:p>
    <w:p w:rsidR="003F4D88" w:rsidRPr="00CA138E" w:rsidRDefault="003F4D88" w:rsidP="00BD7A40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  <w:u w:val="single"/>
        </w:rPr>
      </w:pPr>
      <w:r w:rsidRPr="00CA138E">
        <w:rPr>
          <w:rStyle w:val="jlqj4b"/>
          <w:rFonts w:ascii="Times New Roman" w:hAnsi="Times New Roman" w:cs="Times New Roman"/>
          <w:sz w:val="20"/>
          <w:szCs w:val="20"/>
          <w:u w:val="single"/>
        </w:rPr>
        <w:t xml:space="preserve">Zpožděné a okamžité účinky i chronické účinky krátkodobé a dlouhodobé expozice </w:t>
      </w:r>
    </w:p>
    <w:p w:rsidR="003F4D88" w:rsidRPr="00CA138E" w:rsidRDefault="003F4D88" w:rsidP="00BD7A40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</w:rPr>
      </w:pPr>
      <w:r w:rsidRPr="00CA138E">
        <w:rPr>
          <w:rStyle w:val="jlqj4b"/>
          <w:rFonts w:ascii="Times New Roman" w:hAnsi="Times New Roman" w:cs="Times New Roman"/>
          <w:sz w:val="20"/>
          <w:szCs w:val="20"/>
        </w:rPr>
        <w:t>Informace nejsou k dispozici.</w:t>
      </w:r>
    </w:p>
    <w:p w:rsidR="003F4D88" w:rsidRPr="00CA138E" w:rsidRDefault="003F4D88" w:rsidP="00BD7A40">
      <w:pPr>
        <w:spacing w:after="0" w:line="240" w:lineRule="auto"/>
        <w:rPr>
          <w:rStyle w:val="jlqj4b"/>
          <w:rFonts w:ascii="Times New Roman" w:hAnsi="Times New Roman" w:cs="Times New Roman"/>
          <w:sz w:val="20"/>
          <w:szCs w:val="20"/>
          <w:u w:val="single"/>
        </w:rPr>
      </w:pPr>
      <w:r w:rsidRPr="00CA138E">
        <w:rPr>
          <w:rStyle w:val="jlqj4b"/>
          <w:rFonts w:ascii="Times New Roman" w:hAnsi="Times New Roman" w:cs="Times New Roman"/>
          <w:sz w:val="20"/>
          <w:szCs w:val="20"/>
          <w:u w:val="single"/>
        </w:rPr>
        <w:t xml:space="preserve">Interaktivní účinky </w:t>
      </w:r>
    </w:p>
    <w:p w:rsidR="003F4D88" w:rsidRPr="00CA138E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Style w:val="jlqj4b"/>
          <w:rFonts w:ascii="Times New Roman" w:hAnsi="Times New Roman" w:cs="Times New Roman"/>
          <w:sz w:val="20"/>
          <w:szCs w:val="20"/>
        </w:rPr>
        <w:t>Informace nejsou k dispozici</w:t>
      </w:r>
      <w:r w:rsidRPr="00CA138E">
        <w:rPr>
          <w:rFonts w:ascii="Times New Roman" w:hAnsi="Times New Roman" w:cs="Times New Roman"/>
          <w:sz w:val="20"/>
          <w:szCs w:val="20"/>
        </w:rPr>
        <w:t>.</w:t>
      </w:r>
    </w:p>
    <w:p w:rsidR="003F4D88" w:rsidRPr="00CA138E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F4D88" w:rsidRPr="00CA138E" w:rsidRDefault="003F4D88" w:rsidP="003F4D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Pro směs nebyly toxikologické údaje experimentálně stanoveny.</w:t>
      </w:r>
    </w:p>
    <w:p w:rsidR="003F4D88" w:rsidRPr="00CA138E" w:rsidRDefault="003F4D88" w:rsidP="003F4D8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A138E">
        <w:rPr>
          <w:rFonts w:ascii="Times New Roman" w:hAnsi="Times New Roman" w:cs="Times New Roman"/>
          <w:bCs/>
          <w:sz w:val="20"/>
          <w:szCs w:val="20"/>
        </w:rPr>
        <w:t>Údaje o možném účinku směsi vycházejí ze znalosti účinků jednotlivých složek.</w:t>
      </w: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A138E">
        <w:rPr>
          <w:rFonts w:ascii="Times New Roman" w:hAnsi="Times New Roman" w:cs="Times New Roman"/>
          <w:sz w:val="20"/>
          <w:szCs w:val="20"/>
          <w:u w:val="single"/>
        </w:rPr>
        <w:t>Akutní toxicita</w:t>
      </w:r>
    </w:p>
    <w:p w:rsidR="00BD7A40" w:rsidRPr="00CA138E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4C6338" w:rsidRPr="00CA138E" w:rsidRDefault="004C633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ATE směs, orálně: &gt; 2 000 mg/kg</w:t>
      </w:r>
      <w:r w:rsidR="004A4C90" w:rsidRPr="00CA138E">
        <w:rPr>
          <w:rFonts w:ascii="Times New Roman" w:hAnsi="Times New Roman" w:cs="Times New Roman"/>
          <w:sz w:val="20"/>
          <w:szCs w:val="20"/>
        </w:rPr>
        <w:t xml:space="preserve"> (vypočteno)</w:t>
      </w:r>
    </w:p>
    <w:p w:rsidR="004C6338" w:rsidRPr="00CA138E" w:rsidRDefault="004C6338" w:rsidP="004C63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 xml:space="preserve">ATE směs, dermálně: </w:t>
      </w:r>
      <w:r w:rsidR="004A4C90" w:rsidRPr="00CA138E">
        <w:rPr>
          <w:rFonts w:ascii="Times New Roman" w:hAnsi="Times New Roman" w:cs="Times New Roman"/>
          <w:sz w:val="20"/>
          <w:szCs w:val="20"/>
        </w:rPr>
        <w:t xml:space="preserve">&gt; 10 000 </w:t>
      </w:r>
      <w:r w:rsidRPr="00CA138E">
        <w:rPr>
          <w:rFonts w:ascii="Times New Roman" w:hAnsi="Times New Roman" w:cs="Times New Roman"/>
          <w:sz w:val="20"/>
          <w:szCs w:val="20"/>
        </w:rPr>
        <w:t>mg/kg (vypočteno)</w:t>
      </w:r>
    </w:p>
    <w:p w:rsidR="004C6338" w:rsidRPr="00CA138E" w:rsidRDefault="004C6338" w:rsidP="004C63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ATE směs, inhalačně: neklasifikováno (žádná významná složka)</w:t>
      </w: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A138E">
        <w:rPr>
          <w:rFonts w:ascii="Times New Roman" w:hAnsi="Times New Roman" w:cs="Times New Roman"/>
          <w:bCs/>
          <w:sz w:val="20"/>
          <w:szCs w:val="20"/>
          <w:u w:val="single"/>
        </w:rPr>
        <w:t>Žíravost/dráždivost pro kůži</w:t>
      </w:r>
    </w:p>
    <w:p w:rsidR="004C6338" w:rsidRPr="00CA138E" w:rsidRDefault="004C6338" w:rsidP="004C63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Způsobuje těžké poleptání kůže. Klasifikace na základě hodnoty pH.</w:t>
      </w:r>
    </w:p>
    <w:p w:rsidR="004C6338" w:rsidRPr="00CA138E" w:rsidRDefault="004C6338" w:rsidP="004C633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A138E">
        <w:rPr>
          <w:rFonts w:ascii="Times New Roman" w:hAnsi="Times New Roman" w:cs="Times New Roman"/>
          <w:bCs/>
          <w:sz w:val="20"/>
          <w:szCs w:val="20"/>
          <w:u w:val="single"/>
        </w:rPr>
        <w:t xml:space="preserve">Vážné poškození očí/podráždění očí </w:t>
      </w:r>
    </w:p>
    <w:p w:rsidR="004C6338" w:rsidRPr="00CA138E" w:rsidRDefault="004C6338" w:rsidP="004C63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Způsobuje vážné poškození očí. Klasifikace na základě hodnoty pH.</w:t>
      </w: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A138E">
        <w:rPr>
          <w:rFonts w:ascii="Times New Roman" w:hAnsi="Times New Roman" w:cs="Times New Roman"/>
          <w:bCs/>
          <w:sz w:val="20"/>
          <w:szCs w:val="20"/>
          <w:u w:val="single"/>
        </w:rPr>
        <w:t>Senzibilizace dýchacích cest/senzibilizace kůže</w:t>
      </w:r>
    </w:p>
    <w:p w:rsidR="00BD7A40" w:rsidRPr="00CA138E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A138E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A138E">
        <w:rPr>
          <w:rFonts w:ascii="Times New Roman" w:hAnsi="Times New Roman" w:cs="Times New Roman"/>
          <w:bCs/>
          <w:sz w:val="20"/>
          <w:szCs w:val="20"/>
          <w:u w:val="single"/>
        </w:rPr>
        <w:t>Mutagenita v zárodečných buňkách</w:t>
      </w:r>
    </w:p>
    <w:p w:rsidR="00BD7A40" w:rsidRPr="00CA138E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A138E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proofErr w:type="spellStart"/>
      <w:r w:rsidRPr="00CA138E">
        <w:rPr>
          <w:rFonts w:ascii="Times New Roman" w:hAnsi="Times New Roman" w:cs="Times New Roman"/>
          <w:bCs/>
          <w:sz w:val="20"/>
          <w:szCs w:val="20"/>
          <w:u w:val="single"/>
        </w:rPr>
        <w:t>Karcinogenita</w:t>
      </w:r>
      <w:proofErr w:type="spellEnd"/>
    </w:p>
    <w:p w:rsidR="00BD7A40" w:rsidRPr="00CA138E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A138E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A138E">
        <w:rPr>
          <w:rFonts w:ascii="Times New Roman" w:hAnsi="Times New Roman" w:cs="Times New Roman"/>
          <w:bCs/>
          <w:sz w:val="20"/>
          <w:szCs w:val="20"/>
          <w:u w:val="single"/>
        </w:rPr>
        <w:t>Toxicita pro reprodukci</w:t>
      </w:r>
    </w:p>
    <w:p w:rsidR="00BD7A40" w:rsidRPr="00CA138E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A138E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A138E">
        <w:rPr>
          <w:rFonts w:ascii="Times New Roman" w:hAnsi="Times New Roman" w:cs="Times New Roman"/>
          <w:bCs/>
          <w:sz w:val="20"/>
          <w:szCs w:val="20"/>
          <w:u w:val="single"/>
        </w:rPr>
        <w:t>Toxicita pro specifické cílové orgány – jednorázová expozice</w:t>
      </w:r>
    </w:p>
    <w:p w:rsidR="00BD7A40" w:rsidRPr="00CA138E" w:rsidRDefault="003F4D8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A138E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A138E">
        <w:rPr>
          <w:rFonts w:ascii="Times New Roman" w:hAnsi="Times New Roman" w:cs="Times New Roman"/>
          <w:bCs/>
          <w:sz w:val="20"/>
          <w:szCs w:val="20"/>
          <w:u w:val="single"/>
        </w:rPr>
        <w:t xml:space="preserve">Toxicita pro specifické cílové orgány – opakovaná expozice </w:t>
      </w:r>
    </w:p>
    <w:p w:rsidR="00BD7A40" w:rsidRPr="00CA138E" w:rsidRDefault="003F4D88" w:rsidP="003F4D8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A138E">
        <w:rPr>
          <w:rFonts w:ascii="Times New Roman" w:hAnsi="Times New Roman" w:cs="Times New Roman"/>
          <w:bCs/>
          <w:sz w:val="20"/>
          <w:szCs w:val="20"/>
          <w:u w:val="single"/>
        </w:rPr>
        <w:t>Nebezpečnost při vdechnutí</w:t>
      </w: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Na základě dostupných údajů nejsou kritéria pro klasifikaci splněna.</w:t>
      </w:r>
    </w:p>
    <w:p w:rsidR="004C6338" w:rsidRPr="00CA138E" w:rsidRDefault="004C6338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C90" w:rsidRPr="00CA138E" w:rsidRDefault="004A4C90" w:rsidP="004C63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A138E">
        <w:rPr>
          <w:rFonts w:ascii="Times New Roman" w:hAnsi="Times New Roman" w:cs="Times New Roman"/>
          <w:b/>
          <w:sz w:val="20"/>
          <w:szCs w:val="20"/>
        </w:rPr>
        <w:t>Propan-</w:t>
      </w:r>
      <w:proofErr w:type="gramStart"/>
      <w:r w:rsidRPr="00CA138E">
        <w:rPr>
          <w:rFonts w:ascii="Times New Roman" w:hAnsi="Times New Roman" w:cs="Times New Roman"/>
          <w:b/>
          <w:sz w:val="20"/>
          <w:szCs w:val="20"/>
        </w:rPr>
        <w:t>1,2-diol</w:t>
      </w:r>
      <w:proofErr w:type="gramEnd"/>
    </w:p>
    <w:p w:rsidR="00342D7E" w:rsidRPr="00CA138E" w:rsidRDefault="00342D7E" w:rsidP="00342D7E">
      <w:pPr>
        <w:spacing w:after="0" w:line="240" w:lineRule="auto"/>
        <w:rPr>
          <w:rStyle w:val="q4iawc"/>
          <w:rFonts w:ascii="Times New Roman" w:hAnsi="Times New Roman" w:cs="Times New Roman"/>
          <w:sz w:val="20"/>
          <w:szCs w:val="20"/>
        </w:rPr>
      </w:pPr>
      <w:r w:rsidRPr="00CA138E">
        <w:rPr>
          <w:rStyle w:val="q4iawc"/>
          <w:rFonts w:ascii="Times New Roman" w:hAnsi="Times New Roman" w:cs="Times New Roman"/>
          <w:sz w:val="20"/>
          <w:szCs w:val="20"/>
        </w:rPr>
        <w:t>LD</w:t>
      </w:r>
      <w:r w:rsidRPr="00CA138E">
        <w:rPr>
          <w:rStyle w:val="q4iawc"/>
          <w:rFonts w:ascii="Times New Roman" w:hAnsi="Times New Roman" w:cs="Times New Roman"/>
          <w:sz w:val="20"/>
          <w:szCs w:val="20"/>
          <w:vertAlign w:val="subscript"/>
        </w:rPr>
        <w:t>50</w:t>
      </w:r>
      <w:r w:rsidRPr="00CA138E">
        <w:rPr>
          <w:rStyle w:val="q4iawc"/>
          <w:rFonts w:ascii="Times New Roman" w:hAnsi="Times New Roman" w:cs="Times New Roman"/>
          <w:sz w:val="20"/>
          <w:szCs w:val="20"/>
        </w:rPr>
        <w:t xml:space="preserve"> orálně, potkan: </w:t>
      </w:r>
      <w:r w:rsidR="004A4C90" w:rsidRPr="00CA138E">
        <w:rPr>
          <w:rStyle w:val="q4iawc"/>
          <w:rFonts w:ascii="Times New Roman" w:hAnsi="Times New Roman" w:cs="Times New Roman"/>
          <w:sz w:val="20"/>
          <w:szCs w:val="20"/>
        </w:rPr>
        <w:t>20 800</w:t>
      </w:r>
      <w:r w:rsidRPr="00CA138E">
        <w:rPr>
          <w:rStyle w:val="q4iawc"/>
          <w:rFonts w:ascii="Times New Roman" w:hAnsi="Times New Roman" w:cs="Times New Roman"/>
          <w:sz w:val="20"/>
          <w:szCs w:val="20"/>
        </w:rPr>
        <w:t xml:space="preserve"> mg/kg </w:t>
      </w:r>
    </w:p>
    <w:p w:rsidR="00342D7E" w:rsidRPr="00CA138E" w:rsidRDefault="00342D7E" w:rsidP="00342D7E">
      <w:pPr>
        <w:spacing w:after="0" w:line="240" w:lineRule="auto"/>
        <w:rPr>
          <w:rStyle w:val="q4iawc"/>
          <w:rFonts w:ascii="Times New Roman" w:hAnsi="Times New Roman" w:cs="Times New Roman"/>
          <w:sz w:val="20"/>
          <w:szCs w:val="20"/>
        </w:rPr>
      </w:pPr>
      <w:r w:rsidRPr="00CA138E">
        <w:rPr>
          <w:rStyle w:val="q4iawc"/>
          <w:rFonts w:ascii="Times New Roman" w:hAnsi="Times New Roman" w:cs="Times New Roman"/>
          <w:sz w:val="20"/>
          <w:szCs w:val="20"/>
        </w:rPr>
        <w:t>LD</w:t>
      </w:r>
      <w:r w:rsidRPr="00CA138E">
        <w:rPr>
          <w:rStyle w:val="q4iawc"/>
          <w:rFonts w:ascii="Times New Roman" w:hAnsi="Times New Roman" w:cs="Times New Roman"/>
          <w:sz w:val="20"/>
          <w:szCs w:val="20"/>
          <w:vertAlign w:val="subscript"/>
        </w:rPr>
        <w:t>50</w:t>
      </w:r>
      <w:r w:rsidRPr="00CA138E">
        <w:rPr>
          <w:rStyle w:val="q4iawc"/>
          <w:rFonts w:ascii="Times New Roman" w:hAnsi="Times New Roman" w:cs="Times New Roman"/>
          <w:sz w:val="20"/>
          <w:szCs w:val="20"/>
        </w:rPr>
        <w:t xml:space="preserve"> dermální, potkan: </w:t>
      </w:r>
      <w:r w:rsidR="004A4C90" w:rsidRPr="00CA138E">
        <w:rPr>
          <w:rStyle w:val="q4iawc"/>
          <w:rFonts w:ascii="Times New Roman" w:hAnsi="Times New Roman" w:cs="Times New Roman"/>
          <w:sz w:val="20"/>
          <w:szCs w:val="20"/>
        </w:rPr>
        <w:t xml:space="preserve">20 800 </w:t>
      </w:r>
      <w:r w:rsidRPr="00CA138E">
        <w:rPr>
          <w:rStyle w:val="q4iawc"/>
          <w:rFonts w:ascii="Times New Roman" w:hAnsi="Times New Roman" w:cs="Times New Roman"/>
          <w:sz w:val="20"/>
          <w:szCs w:val="20"/>
        </w:rPr>
        <w:t xml:space="preserve">mg/kg </w:t>
      </w:r>
    </w:p>
    <w:p w:rsidR="004C6338" w:rsidRPr="00CA138E" w:rsidRDefault="004C6338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A138E">
        <w:rPr>
          <w:rFonts w:ascii="Times New Roman" w:hAnsi="Times New Roman" w:cs="Times New Roman"/>
          <w:b/>
          <w:sz w:val="20"/>
          <w:szCs w:val="20"/>
        </w:rPr>
        <w:t>Chloritan sodný</w:t>
      </w:r>
    </w:p>
    <w:p w:rsidR="004A4C90" w:rsidRPr="00CA138E" w:rsidRDefault="004A4C90" w:rsidP="004A4C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ATE orální = 100 mg/kg</w:t>
      </w:r>
    </w:p>
    <w:p w:rsidR="008B62E5" w:rsidRPr="00CA138E" w:rsidRDefault="008B62E5" w:rsidP="008B62E5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CA138E">
        <w:rPr>
          <w:rFonts w:ascii="Times New Roman" w:hAnsi="Times New Roman" w:cs="Times New Roman"/>
          <w:b/>
        </w:rPr>
        <w:t>11.2. Informace o další nebezpečnosti</w:t>
      </w:r>
    </w:p>
    <w:p w:rsidR="008B62E5" w:rsidRPr="00CA138E" w:rsidRDefault="00AB6363" w:rsidP="00BD7A40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  <w:u w:val="single"/>
        </w:rPr>
      </w:pPr>
      <w:r w:rsidRPr="00CA138E">
        <w:rPr>
          <w:rFonts w:ascii="Times New Roman" w:hAnsi="Times New Roman" w:cs="Times New Roman"/>
          <w:iCs/>
          <w:sz w:val="20"/>
          <w:szCs w:val="20"/>
          <w:u w:val="single"/>
        </w:rPr>
        <w:t>Vlastnosti vyvolávající narušení činnosti endokrinního systému</w:t>
      </w:r>
    </w:p>
    <w:p w:rsidR="002A23B3" w:rsidRPr="00CA138E" w:rsidRDefault="00A0478E" w:rsidP="004A4C9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Na základě dostupných údajů produkt neobsahuje látky uvedené v evropském seznamu potenciálních nebo podezřelých látek narušujících endokrinní systém s účinky na lidské zdraví, které jsou předmětem hodnocení.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CA138E" w:rsidTr="00607662">
        <w:tc>
          <w:tcPr>
            <w:tcW w:w="9104" w:type="dxa"/>
          </w:tcPr>
          <w:p w:rsidR="002A23B3" w:rsidRPr="00CA138E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ODDÍL 12: Ekologické informace  </w:t>
            </w:r>
          </w:p>
        </w:tc>
      </w:tr>
    </w:tbl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Pro směs nebyly toxikologické údaje experimentálně stanoveny.</w:t>
      </w: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A138E">
        <w:rPr>
          <w:rFonts w:ascii="Times New Roman" w:hAnsi="Times New Roman" w:cs="Times New Roman"/>
          <w:bCs/>
          <w:sz w:val="20"/>
          <w:szCs w:val="20"/>
        </w:rPr>
        <w:t>Údaje o možném účinku směsi vycházejí ze znalosti účinků jednotlivých složek.</w:t>
      </w:r>
    </w:p>
    <w:p w:rsidR="00BD7A40" w:rsidRPr="00CA138E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CA138E">
        <w:rPr>
          <w:rFonts w:ascii="Times New Roman" w:hAnsi="Times New Roman" w:cs="Times New Roman"/>
          <w:b/>
        </w:rPr>
        <w:t>12.1</w:t>
      </w:r>
      <w:r w:rsidR="00627231" w:rsidRPr="00CA138E">
        <w:rPr>
          <w:rFonts w:ascii="Times New Roman" w:hAnsi="Times New Roman" w:cs="Times New Roman"/>
          <w:b/>
        </w:rPr>
        <w:t>.</w:t>
      </w:r>
      <w:r w:rsidR="004C5921" w:rsidRPr="00CA138E">
        <w:rPr>
          <w:rFonts w:ascii="Times New Roman" w:hAnsi="Times New Roman" w:cs="Times New Roman"/>
          <w:b/>
        </w:rPr>
        <w:t xml:space="preserve"> </w:t>
      </w:r>
      <w:r w:rsidRPr="00CA138E">
        <w:rPr>
          <w:rFonts w:ascii="Times New Roman" w:hAnsi="Times New Roman" w:cs="Times New Roman"/>
          <w:b/>
        </w:rPr>
        <w:t>Toxicita</w:t>
      </w:r>
    </w:p>
    <w:p w:rsidR="00274810" w:rsidRPr="00CA138E" w:rsidRDefault="00274810" w:rsidP="002748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Produkt není považován za nebezpečný pro životní prostředí.</w:t>
      </w:r>
    </w:p>
    <w:p w:rsidR="00F67315" w:rsidRPr="00CA138E" w:rsidRDefault="00F67315" w:rsidP="00F6731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A138E">
        <w:rPr>
          <w:rFonts w:ascii="Times New Roman" w:hAnsi="Times New Roman" w:cs="Times New Roman"/>
          <w:b/>
          <w:sz w:val="20"/>
          <w:szCs w:val="20"/>
        </w:rPr>
        <w:t>Chloritan sodný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CA138E" w:rsidRPr="00CA138E" w:rsidTr="00140BCF">
        <w:tc>
          <w:tcPr>
            <w:tcW w:w="2977" w:type="dxa"/>
          </w:tcPr>
          <w:p w:rsidR="00F67315" w:rsidRPr="00CA138E" w:rsidRDefault="00F67315" w:rsidP="0014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- EC</w:t>
            </w:r>
            <w:r w:rsidRPr="00CA138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50,</w:t>
            </w:r>
            <w:r w:rsidR="00F20434" w:rsidRPr="00CA138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F20434" w:rsidRPr="00CA138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 hod., řasy (mg.l</w:t>
            </w:r>
            <w:r w:rsidRPr="00CA13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6095" w:type="dxa"/>
          </w:tcPr>
          <w:p w:rsidR="00F67315" w:rsidRPr="00CA138E" w:rsidRDefault="00F20434" w:rsidP="0014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="004A4C90" w:rsidRPr="00CA138E">
              <w:rPr>
                <w:rFonts w:ascii="Times New Roman" w:hAnsi="Times New Roman" w:cs="Times New Roman"/>
                <w:i/>
                <w:sz w:val="20"/>
                <w:szCs w:val="20"/>
              </w:rPr>
              <w:t>Pseudokirchnerella</w:t>
            </w:r>
            <w:proofErr w:type="spellEnd"/>
            <w:r w:rsidR="004A4C90" w:rsidRPr="00CA13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4A4C90" w:rsidRPr="00CA138E">
              <w:rPr>
                <w:rFonts w:ascii="Times New Roman" w:hAnsi="Times New Roman" w:cs="Times New Roman"/>
                <w:i/>
                <w:sz w:val="20"/>
                <w:szCs w:val="20"/>
              </w:rPr>
              <w:t>subcapitata</w:t>
            </w:r>
            <w:proofErr w:type="spellEnd"/>
          </w:p>
        </w:tc>
      </w:tr>
    </w:tbl>
    <w:p w:rsidR="00BD7A40" w:rsidRPr="00CA138E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CA138E">
        <w:rPr>
          <w:rFonts w:ascii="Times New Roman" w:hAnsi="Times New Roman" w:cs="Times New Roman"/>
          <w:b/>
        </w:rPr>
        <w:t>12.2</w:t>
      </w:r>
      <w:r w:rsidR="00627231" w:rsidRPr="00CA138E">
        <w:rPr>
          <w:rFonts w:ascii="Times New Roman" w:hAnsi="Times New Roman" w:cs="Times New Roman"/>
          <w:b/>
        </w:rPr>
        <w:t>.</w:t>
      </w:r>
      <w:r w:rsidR="004C5921" w:rsidRPr="00CA138E">
        <w:rPr>
          <w:rFonts w:ascii="Times New Roman" w:hAnsi="Times New Roman" w:cs="Times New Roman"/>
          <w:b/>
        </w:rPr>
        <w:t xml:space="preserve"> </w:t>
      </w:r>
      <w:r w:rsidRPr="00CA138E">
        <w:rPr>
          <w:rFonts w:ascii="Times New Roman" w:hAnsi="Times New Roman" w:cs="Times New Roman"/>
          <w:b/>
        </w:rPr>
        <w:t>Perzistence a rozložitelnost</w:t>
      </w:r>
    </w:p>
    <w:p w:rsidR="00F20434" w:rsidRPr="00CA138E" w:rsidRDefault="00F20434" w:rsidP="00F204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Style w:val="jlqj4b"/>
          <w:rFonts w:ascii="Times New Roman" w:hAnsi="Times New Roman" w:cs="Times New Roman"/>
          <w:sz w:val="20"/>
          <w:szCs w:val="20"/>
        </w:rPr>
        <w:t>Informace pro směs nejsou k dispozici</w:t>
      </w:r>
      <w:r w:rsidRPr="00CA138E">
        <w:rPr>
          <w:rFonts w:ascii="Times New Roman" w:hAnsi="Times New Roman" w:cs="Times New Roman"/>
          <w:sz w:val="20"/>
          <w:szCs w:val="20"/>
        </w:rPr>
        <w:t>.</w:t>
      </w:r>
    </w:p>
    <w:p w:rsidR="004A4C90" w:rsidRPr="00CA138E" w:rsidRDefault="004A4C90" w:rsidP="00F204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b/>
          <w:sz w:val="20"/>
          <w:szCs w:val="20"/>
        </w:rPr>
        <w:t>Chloritan sodný</w:t>
      </w:r>
      <w:r w:rsidRPr="00CA138E">
        <w:rPr>
          <w:rFonts w:ascii="Times New Roman" w:hAnsi="Times New Roman" w:cs="Times New Roman"/>
          <w:b/>
          <w:sz w:val="20"/>
          <w:szCs w:val="20"/>
        </w:rPr>
        <w:tab/>
      </w:r>
      <w:r w:rsidRPr="00CA138E">
        <w:rPr>
          <w:rFonts w:ascii="Times New Roman" w:hAnsi="Times New Roman" w:cs="Times New Roman"/>
          <w:b/>
          <w:sz w:val="20"/>
          <w:szCs w:val="20"/>
        </w:rPr>
        <w:tab/>
      </w:r>
      <w:r w:rsidRPr="00CA138E">
        <w:rPr>
          <w:rFonts w:ascii="Times New Roman" w:hAnsi="Times New Roman" w:cs="Times New Roman"/>
          <w:sz w:val="20"/>
          <w:szCs w:val="20"/>
        </w:rPr>
        <w:t>r</w:t>
      </w:r>
      <w:r w:rsidRPr="00CA138E">
        <w:rPr>
          <w:rStyle w:val="jlqj4b"/>
          <w:rFonts w:ascii="Times New Roman" w:hAnsi="Times New Roman" w:cs="Times New Roman"/>
          <w:sz w:val="20"/>
          <w:szCs w:val="20"/>
        </w:rPr>
        <w:t>ozpustnost ve vodě &gt; 10 000 mg/l</w:t>
      </w:r>
    </w:p>
    <w:p w:rsidR="00BD7A40" w:rsidRPr="00CA138E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CA138E">
        <w:rPr>
          <w:rFonts w:ascii="Times New Roman" w:hAnsi="Times New Roman" w:cs="Times New Roman"/>
          <w:b/>
        </w:rPr>
        <w:t>12.3</w:t>
      </w:r>
      <w:r w:rsidR="00627231" w:rsidRPr="00CA138E">
        <w:rPr>
          <w:rFonts w:ascii="Times New Roman" w:hAnsi="Times New Roman" w:cs="Times New Roman"/>
          <w:b/>
        </w:rPr>
        <w:t>.</w:t>
      </w:r>
      <w:r w:rsidR="004C5921" w:rsidRPr="00CA138E">
        <w:rPr>
          <w:rFonts w:ascii="Times New Roman" w:hAnsi="Times New Roman" w:cs="Times New Roman"/>
          <w:b/>
        </w:rPr>
        <w:t xml:space="preserve"> </w:t>
      </w:r>
      <w:r w:rsidRPr="00CA138E">
        <w:rPr>
          <w:rFonts w:ascii="Times New Roman" w:hAnsi="Times New Roman" w:cs="Times New Roman"/>
          <w:b/>
        </w:rPr>
        <w:t>Bioakumulační potenciál</w:t>
      </w:r>
    </w:p>
    <w:p w:rsidR="001F0B33" w:rsidRPr="00CA138E" w:rsidRDefault="001F0B33" w:rsidP="001F0B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Style w:val="jlqj4b"/>
          <w:rFonts w:ascii="Times New Roman" w:hAnsi="Times New Roman" w:cs="Times New Roman"/>
          <w:sz w:val="20"/>
          <w:szCs w:val="20"/>
        </w:rPr>
        <w:t xml:space="preserve">Informace </w:t>
      </w:r>
      <w:r w:rsidR="00F20434" w:rsidRPr="00CA138E">
        <w:rPr>
          <w:rStyle w:val="jlqj4b"/>
          <w:rFonts w:ascii="Times New Roman" w:hAnsi="Times New Roman" w:cs="Times New Roman"/>
          <w:sz w:val="20"/>
          <w:szCs w:val="20"/>
        </w:rPr>
        <w:t xml:space="preserve">pro směs </w:t>
      </w:r>
      <w:r w:rsidRPr="00CA138E">
        <w:rPr>
          <w:rStyle w:val="jlqj4b"/>
          <w:rFonts w:ascii="Times New Roman" w:hAnsi="Times New Roman" w:cs="Times New Roman"/>
          <w:sz w:val="20"/>
          <w:szCs w:val="20"/>
        </w:rPr>
        <w:t>nejsou k dispozici</w:t>
      </w:r>
      <w:r w:rsidRPr="00CA138E">
        <w:rPr>
          <w:rFonts w:ascii="Times New Roman" w:hAnsi="Times New Roman" w:cs="Times New Roman"/>
          <w:sz w:val="20"/>
          <w:szCs w:val="20"/>
        </w:rPr>
        <w:t>.</w:t>
      </w:r>
    </w:p>
    <w:p w:rsidR="00A0478E" w:rsidRPr="00CA138E" w:rsidRDefault="00F20434" w:rsidP="001F0B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b/>
          <w:sz w:val="20"/>
          <w:szCs w:val="20"/>
        </w:rPr>
        <w:t>Chloritan sodný</w:t>
      </w:r>
      <w:r w:rsidRPr="00CA138E">
        <w:rPr>
          <w:rFonts w:ascii="Times New Roman" w:hAnsi="Times New Roman" w:cs="Times New Roman"/>
          <w:b/>
          <w:sz w:val="20"/>
          <w:szCs w:val="20"/>
        </w:rPr>
        <w:tab/>
      </w:r>
      <w:r w:rsidR="00A0478E" w:rsidRPr="00CA138E">
        <w:rPr>
          <w:rFonts w:ascii="Times New Roman" w:hAnsi="Times New Roman" w:cs="Times New Roman"/>
          <w:b/>
          <w:sz w:val="20"/>
          <w:szCs w:val="20"/>
        </w:rPr>
        <w:tab/>
      </w:r>
      <w:r w:rsidRPr="00CA138E">
        <w:rPr>
          <w:rStyle w:val="oj-italic"/>
          <w:rFonts w:ascii="Times New Roman" w:hAnsi="Times New Roman" w:cs="Times New Roman"/>
          <w:sz w:val="20"/>
          <w:szCs w:val="20"/>
        </w:rPr>
        <w:t xml:space="preserve">rozdělovací koeficient n-oktanol/voda: </w:t>
      </w:r>
      <w:r w:rsidRPr="00CA138E">
        <w:rPr>
          <w:rFonts w:ascii="Times New Roman" w:hAnsi="Times New Roman" w:cs="Times New Roman"/>
          <w:sz w:val="20"/>
          <w:szCs w:val="20"/>
        </w:rPr>
        <w:t>- 2,7</w:t>
      </w:r>
    </w:p>
    <w:p w:rsidR="00BD7A40" w:rsidRPr="00CA138E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CA138E">
        <w:rPr>
          <w:rFonts w:ascii="Times New Roman" w:hAnsi="Times New Roman" w:cs="Times New Roman"/>
          <w:b/>
        </w:rPr>
        <w:t>12.4</w:t>
      </w:r>
      <w:r w:rsidR="00627231" w:rsidRPr="00CA138E">
        <w:rPr>
          <w:rFonts w:ascii="Times New Roman" w:hAnsi="Times New Roman" w:cs="Times New Roman"/>
          <w:b/>
        </w:rPr>
        <w:t>.</w:t>
      </w:r>
      <w:r w:rsidR="004C5921" w:rsidRPr="00CA138E">
        <w:rPr>
          <w:rFonts w:ascii="Times New Roman" w:hAnsi="Times New Roman" w:cs="Times New Roman"/>
          <w:b/>
        </w:rPr>
        <w:t xml:space="preserve"> </w:t>
      </w:r>
      <w:r w:rsidRPr="00CA138E">
        <w:rPr>
          <w:rFonts w:ascii="Times New Roman" w:hAnsi="Times New Roman" w:cs="Times New Roman"/>
          <w:b/>
        </w:rPr>
        <w:t>Mobilita v půdě</w:t>
      </w:r>
    </w:p>
    <w:p w:rsidR="00F20434" w:rsidRPr="00CA138E" w:rsidRDefault="00F20434" w:rsidP="00F204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Style w:val="jlqj4b"/>
          <w:rFonts w:ascii="Times New Roman" w:hAnsi="Times New Roman" w:cs="Times New Roman"/>
          <w:sz w:val="20"/>
          <w:szCs w:val="20"/>
        </w:rPr>
        <w:t>Informace pro směs nejsou k dispozici</w:t>
      </w:r>
      <w:r w:rsidRPr="00CA138E">
        <w:rPr>
          <w:rFonts w:ascii="Times New Roman" w:hAnsi="Times New Roman" w:cs="Times New Roman"/>
          <w:sz w:val="20"/>
          <w:szCs w:val="20"/>
        </w:rPr>
        <w:t>.</w:t>
      </w:r>
    </w:p>
    <w:p w:rsidR="004A4C90" w:rsidRPr="00CA138E" w:rsidRDefault="004A4C90" w:rsidP="004A4C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b/>
          <w:sz w:val="20"/>
          <w:szCs w:val="20"/>
        </w:rPr>
        <w:t>Propan-</w:t>
      </w:r>
      <w:proofErr w:type="gramStart"/>
      <w:r w:rsidRPr="00CA138E">
        <w:rPr>
          <w:rFonts w:ascii="Times New Roman" w:hAnsi="Times New Roman" w:cs="Times New Roman"/>
          <w:b/>
          <w:sz w:val="20"/>
          <w:szCs w:val="20"/>
        </w:rPr>
        <w:t>1,2-diol</w:t>
      </w:r>
      <w:proofErr w:type="gramEnd"/>
      <w:r w:rsidRPr="00CA138E">
        <w:rPr>
          <w:rFonts w:ascii="Times New Roman" w:hAnsi="Times New Roman" w:cs="Times New Roman"/>
          <w:b/>
          <w:sz w:val="20"/>
          <w:szCs w:val="20"/>
        </w:rPr>
        <w:tab/>
      </w:r>
      <w:r w:rsidRPr="00CA138E">
        <w:rPr>
          <w:rFonts w:ascii="Times New Roman" w:hAnsi="Times New Roman" w:cs="Times New Roman"/>
          <w:b/>
          <w:sz w:val="20"/>
          <w:szCs w:val="20"/>
        </w:rPr>
        <w:tab/>
      </w:r>
      <w:r w:rsidRPr="00CA138E">
        <w:rPr>
          <w:rStyle w:val="oj-italic"/>
          <w:rFonts w:ascii="Times New Roman" w:hAnsi="Times New Roman" w:cs="Times New Roman"/>
          <w:sz w:val="20"/>
          <w:szCs w:val="20"/>
        </w:rPr>
        <w:t>rozdělovací koeficient půda/voda: 0,46</w:t>
      </w:r>
    </w:p>
    <w:p w:rsidR="00BD7A40" w:rsidRPr="00CA138E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CA138E">
        <w:rPr>
          <w:rFonts w:ascii="Times New Roman" w:hAnsi="Times New Roman" w:cs="Times New Roman"/>
          <w:b/>
        </w:rPr>
        <w:t>12.5</w:t>
      </w:r>
      <w:r w:rsidR="00627231" w:rsidRPr="00CA138E">
        <w:rPr>
          <w:rFonts w:ascii="Times New Roman" w:hAnsi="Times New Roman" w:cs="Times New Roman"/>
          <w:b/>
        </w:rPr>
        <w:t>.</w:t>
      </w:r>
      <w:r w:rsidR="004C5921" w:rsidRPr="00CA138E">
        <w:rPr>
          <w:rFonts w:ascii="Times New Roman" w:hAnsi="Times New Roman" w:cs="Times New Roman"/>
          <w:b/>
        </w:rPr>
        <w:t xml:space="preserve"> </w:t>
      </w:r>
      <w:r w:rsidRPr="00CA138E">
        <w:rPr>
          <w:rFonts w:ascii="Times New Roman" w:hAnsi="Times New Roman" w:cs="Times New Roman"/>
          <w:b/>
        </w:rPr>
        <w:t xml:space="preserve">Výsledky posouzení PBT a </w:t>
      </w:r>
      <w:proofErr w:type="spellStart"/>
      <w:r w:rsidRPr="00CA138E">
        <w:rPr>
          <w:rFonts w:ascii="Times New Roman" w:hAnsi="Times New Roman" w:cs="Times New Roman"/>
          <w:b/>
        </w:rPr>
        <w:t>vPvB</w:t>
      </w:r>
      <w:proofErr w:type="spellEnd"/>
    </w:p>
    <w:p w:rsidR="00A0478E" w:rsidRPr="00CA138E" w:rsidRDefault="00A0478E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 xml:space="preserve">Na základě dostupných údajů produkt neobsahuje žádné PBT ani </w:t>
      </w:r>
      <w:proofErr w:type="spellStart"/>
      <w:r w:rsidRPr="00CA138E">
        <w:rPr>
          <w:rFonts w:ascii="Times New Roman" w:hAnsi="Times New Roman" w:cs="Times New Roman"/>
          <w:sz w:val="20"/>
          <w:szCs w:val="20"/>
        </w:rPr>
        <w:t>vPvB</w:t>
      </w:r>
      <w:proofErr w:type="spellEnd"/>
      <w:r w:rsidRPr="00CA138E">
        <w:rPr>
          <w:rFonts w:ascii="Times New Roman" w:hAnsi="Times New Roman" w:cs="Times New Roman"/>
          <w:sz w:val="20"/>
          <w:szCs w:val="20"/>
        </w:rPr>
        <w:t xml:space="preserve"> v koncentraci ≥ 0,1 %.</w:t>
      </w:r>
    </w:p>
    <w:p w:rsidR="00BD7A40" w:rsidRPr="00CA138E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CA138E">
        <w:rPr>
          <w:rFonts w:ascii="Times New Roman" w:hAnsi="Times New Roman" w:cs="Times New Roman"/>
          <w:b/>
        </w:rPr>
        <w:t>12.6</w:t>
      </w:r>
      <w:r w:rsidR="00627231" w:rsidRPr="00CA138E">
        <w:rPr>
          <w:rFonts w:ascii="Times New Roman" w:hAnsi="Times New Roman" w:cs="Times New Roman"/>
          <w:b/>
        </w:rPr>
        <w:t>.</w:t>
      </w:r>
      <w:r w:rsidRPr="00CA138E">
        <w:rPr>
          <w:rFonts w:ascii="Times New Roman" w:hAnsi="Times New Roman" w:cs="Times New Roman"/>
          <w:b/>
        </w:rPr>
        <w:t xml:space="preserve"> </w:t>
      </w:r>
      <w:r w:rsidR="00627231" w:rsidRPr="00CA138E">
        <w:rPr>
          <w:rFonts w:ascii="Times New Roman" w:hAnsi="Times New Roman" w:cs="Times New Roman"/>
          <w:b/>
        </w:rPr>
        <w:t>Vlastnosti vyvolávající narušení činnosti endokrinního systému</w:t>
      </w:r>
    </w:p>
    <w:p w:rsidR="00A0478E" w:rsidRPr="00CA138E" w:rsidRDefault="00A0478E" w:rsidP="00A047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Na základě dostupných údajů produkt neobsahuje látky uvedené v evropském seznamu potenciálních nebo podezřelých látek narušujících endokrinní systém s účinky na životní prostředí, které jsou předmětem hodnocení.</w:t>
      </w:r>
    </w:p>
    <w:p w:rsidR="00627231" w:rsidRPr="00CA138E" w:rsidRDefault="00627231" w:rsidP="00627231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CA138E">
        <w:rPr>
          <w:rFonts w:ascii="Times New Roman" w:hAnsi="Times New Roman" w:cs="Times New Roman"/>
          <w:b/>
        </w:rPr>
        <w:t>12.7. Jiné nepříznivé účinky</w:t>
      </w:r>
    </w:p>
    <w:p w:rsidR="001F0B33" w:rsidRPr="00CA138E" w:rsidRDefault="001F0B33" w:rsidP="001F0B33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0"/>
          <w:szCs w:val="20"/>
        </w:rPr>
      </w:pPr>
      <w:r w:rsidRPr="00CA138E">
        <w:rPr>
          <w:rStyle w:val="jlqj4b"/>
          <w:rFonts w:ascii="Times New Roman" w:hAnsi="Times New Roman" w:cs="Times New Roman"/>
          <w:sz w:val="20"/>
          <w:szCs w:val="20"/>
        </w:rPr>
        <w:t>Používat tento produkt v souladu se správnými pracovními postupy.</w:t>
      </w:r>
      <w:r w:rsidRPr="00CA138E">
        <w:rPr>
          <w:rStyle w:val="viiyi"/>
          <w:rFonts w:ascii="Times New Roman" w:hAnsi="Times New Roman" w:cs="Times New Roman"/>
          <w:sz w:val="20"/>
          <w:szCs w:val="20"/>
        </w:rPr>
        <w:t xml:space="preserve"> Zamezit úniku do životního prostředí. </w:t>
      </w:r>
      <w:r w:rsidR="00F20434" w:rsidRPr="00CA138E">
        <w:rPr>
          <w:rStyle w:val="jlqj4b"/>
          <w:rFonts w:ascii="Times New Roman" w:hAnsi="Times New Roman" w:cs="Times New Roman"/>
          <w:sz w:val="20"/>
          <w:szCs w:val="20"/>
        </w:rPr>
        <w:t>Pokud se produkt dostane do vodních toků nebo kontaminuje půdu nebo vegetaci, informovat o tom příslušné úřady.</w:t>
      </w:r>
    </w:p>
    <w:p w:rsidR="00627231" w:rsidRPr="00CA138E" w:rsidRDefault="00627231" w:rsidP="006272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CA138E" w:rsidRPr="00CA138E" w:rsidTr="00607662">
        <w:tc>
          <w:tcPr>
            <w:tcW w:w="9104" w:type="dxa"/>
          </w:tcPr>
          <w:p w:rsidR="002A23B3" w:rsidRPr="00CA138E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13: Pokyny pro odstraňování </w:t>
            </w:r>
          </w:p>
        </w:tc>
      </w:tr>
    </w:tbl>
    <w:p w:rsidR="00BD7A40" w:rsidRPr="00CA138E" w:rsidRDefault="00BD7A40" w:rsidP="00D43DCF">
      <w:pPr>
        <w:spacing w:before="120" w:after="0" w:line="240" w:lineRule="auto"/>
        <w:rPr>
          <w:rFonts w:ascii="Times New Roman" w:hAnsi="Times New Roman" w:cs="Times New Roman"/>
          <w:b/>
        </w:rPr>
      </w:pPr>
      <w:bookmarkStart w:id="1" w:name="_Toc66779669"/>
      <w:r w:rsidRPr="00CA138E">
        <w:rPr>
          <w:rFonts w:ascii="Times New Roman" w:hAnsi="Times New Roman" w:cs="Times New Roman"/>
          <w:b/>
        </w:rPr>
        <w:t>13.1</w:t>
      </w:r>
      <w:bookmarkEnd w:id="1"/>
      <w:r w:rsidR="00627231" w:rsidRPr="00CA138E">
        <w:rPr>
          <w:rFonts w:ascii="Times New Roman" w:hAnsi="Times New Roman" w:cs="Times New Roman"/>
          <w:b/>
        </w:rPr>
        <w:t>.</w:t>
      </w:r>
      <w:r w:rsidR="004C5921" w:rsidRPr="00CA138E">
        <w:rPr>
          <w:rFonts w:ascii="Times New Roman" w:hAnsi="Times New Roman" w:cs="Times New Roman"/>
          <w:b/>
        </w:rPr>
        <w:t xml:space="preserve"> </w:t>
      </w:r>
      <w:r w:rsidRPr="00CA138E">
        <w:rPr>
          <w:rFonts w:ascii="Times New Roman" w:hAnsi="Times New Roman" w:cs="Times New Roman"/>
          <w:b/>
        </w:rPr>
        <w:t>Metody nakládání s odpady</w:t>
      </w:r>
    </w:p>
    <w:p w:rsidR="00303D67" w:rsidRPr="00CA138E" w:rsidRDefault="00303D67" w:rsidP="00303D67">
      <w:pPr>
        <w:spacing w:before="120" w:after="0" w:line="240" w:lineRule="auto"/>
        <w:rPr>
          <w:rFonts w:ascii="Times New Roman" w:hAnsi="Times New Roman" w:cs="Times New Roman"/>
          <w:bCs/>
          <w:iCs/>
          <w:sz w:val="20"/>
          <w:szCs w:val="20"/>
          <w:u w:val="single"/>
        </w:rPr>
      </w:pPr>
      <w:r w:rsidRPr="00CA138E">
        <w:rPr>
          <w:rFonts w:ascii="Times New Roman" w:hAnsi="Times New Roman" w:cs="Times New Roman"/>
          <w:bCs/>
          <w:iCs/>
          <w:sz w:val="20"/>
          <w:szCs w:val="20"/>
          <w:u w:val="single"/>
        </w:rPr>
        <w:t>Vhodný způsob odstraňování odpadů – právnické osoby a fyzické osoby oprávněné k podnikání</w:t>
      </w:r>
    </w:p>
    <w:p w:rsidR="00AC5CBD" w:rsidRPr="00CA138E" w:rsidRDefault="00BD7A40" w:rsidP="00AC5C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Nesmí se odstraňovat společně s komunálními odpady. Ne</w:t>
      </w:r>
      <w:r w:rsidR="00F20434" w:rsidRPr="00CA138E">
        <w:rPr>
          <w:rFonts w:ascii="Times New Roman" w:hAnsi="Times New Roman" w:cs="Times New Roman"/>
          <w:sz w:val="20"/>
          <w:szCs w:val="20"/>
        </w:rPr>
        <w:t>vylévat</w:t>
      </w:r>
      <w:r w:rsidRPr="00CA138E">
        <w:rPr>
          <w:rFonts w:ascii="Times New Roman" w:hAnsi="Times New Roman" w:cs="Times New Roman"/>
          <w:sz w:val="20"/>
          <w:szCs w:val="20"/>
        </w:rPr>
        <w:t xml:space="preserve"> do kanalizace.</w:t>
      </w:r>
      <w:r w:rsidR="00AC5CBD" w:rsidRPr="00CA138E">
        <w:rPr>
          <w:rFonts w:ascii="Times New Roman" w:hAnsi="Times New Roman" w:cs="Times New Roman"/>
          <w:sz w:val="20"/>
          <w:szCs w:val="20"/>
        </w:rPr>
        <w:t xml:space="preserve"> Nepoužitý výrobek a znečištěný obal uložit do označených nádob pro sběr odpadu a označený odpad vč. identifikačního listu odpadu předat k likvidaci oprávněné osobě k odstraňování odpadu (specializované firmě), která má oprávnění k této činnosti.</w:t>
      </w:r>
    </w:p>
    <w:p w:rsidR="00BD7A40" w:rsidRPr="00CA138E" w:rsidRDefault="00AC5CBD" w:rsidP="001F0B33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Vhodné odstraňování výrobku nebo obalu: výrobek recyklovat, pokud je to možné, nebo spalovat ve schváleném zařízení. Spalování nebo skládkování zvážit jen v případě, že není možná recyklace.</w:t>
      </w:r>
      <w:r w:rsidR="00473757" w:rsidRPr="00CA138E">
        <w:rPr>
          <w:rFonts w:ascii="Times New Roman" w:hAnsi="Times New Roman" w:cs="Times New Roman"/>
          <w:sz w:val="20"/>
          <w:szCs w:val="20"/>
        </w:rPr>
        <w:t xml:space="preserve"> Znečištěné obaly musí být před recyklací vyčištěny.</w:t>
      </w:r>
      <w:r w:rsidR="00713FD7" w:rsidRPr="00CA138E">
        <w:rPr>
          <w:rFonts w:ascii="Times New Roman" w:hAnsi="Times New Roman" w:cs="Times New Roman"/>
          <w:sz w:val="20"/>
          <w:szCs w:val="20"/>
        </w:rPr>
        <w:t xml:space="preserve"> Vyčištěné obaly recyklovat. </w:t>
      </w:r>
    </w:p>
    <w:p w:rsidR="00713FD7" w:rsidRPr="00CA138E" w:rsidRDefault="00713FD7" w:rsidP="004737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4C90" w:rsidRPr="00CA138E" w:rsidRDefault="004A4C90" w:rsidP="004A4C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 xml:space="preserve">Katalogová čísla druhů odpadů zařazuje původce odpadu na základě použití výrobku. </w:t>
      </w:r>
    </w:p>
    <w:p w:rsidR="004A4C90" w:rsidRPr="00CA138E" w:rsidRDefault="004A4C90" w:rsidP="004A4C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Doporučený kód odpadu: 02 01 08* Agrochemické odpady obsahující nebezpečné látky</w:t>
      </w:r>
    </w:p>
    <w:p w:rsidR="004A4C90" w:rsidRPr="00CA138E" w:rsidRDefault="004A4C90" w:rsidP="004A4C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 xml:space="preserve">Prázdné vyčištěné obaly: </w:t>
      </w:r>
      <w:r w:rsidRPr="00CA138E">
        <w:rPr>
          <w:rFonts w:ascii="Times New Roman" w:hAnsi="Times New Roman" w:cs="Times New Roman"/>
          <w:sz w:val="20"/>
          <w:szCs w:val="20"/>
        </w:rPr>
        <w:tab/>
        <w:t xml:space="preserve">podskupina 15 01 </w:t>
      </w:r>
      <w:proofErr w:type="spellStart"/>
      <w:r w:rsidRPr="00CA138E">
        <w:rPr>
          <w:rFonts w:ascii="Times New Roman" w:hAnsi="Times New Roman" w:cs="Times New Roman"/>
          <w:sz w:val="20"/>
          <w:szCs w:val="20"/>
        </w:rPr>
        <w:t>xx</w:t>
      </w:r>
      <w:proofErr w:type="spellEnd"/>
    </w:p>
    <w:p w:rsidR="004A4C90" w:rsidRPr="00CA138E" w:rsidRDefault="004A4C90" w:rsidP="004A4C90">
      <w:pPr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Znečištěné obaly: 15 01 10* Obaly obsahující zbytky nebezpečných látek nebo obaly těmito látkami kontaminované</w:t>
      </w:r>
    </w:p>
    <w:p w:rsidR="004A4C90" w:rsidRPr="00CA138E" w:rsidRDefault="004A4C90" w:rsidP="004A4C90">
      <w:pPr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Odpady z čištění:</w:t>
      </w:r>
      <w:r w:rsidRPr="00CA138E">
        <w:rPr>
          <w:rFonts w:ascii="Times New Roman" w:hAnsi="Times New Roman" w:cs="Times New Roman"/>
          <w:sz w:val="20"/>
          <w:szCs w:val="20"/>
        </w:rPr>
        <w:tab/>
        <w:t>15 02 02* Absorpční činidla, filtrační materiály, čistící tkaniny a ochranné oděvy znečištěné nebezpečnými látkami</w:t>
      </w:r>
    </w:p>
    <w:p w:rsidR="00BD7A40" w:rsidRPr="00CA138E" w:rsidRDefault="00BD7A40" w:rsidP="00A26AC6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A138E">
        <w:rPr>
          <w:rFonts w:ascii="Times New Roman" w:hAnsi="Times New Roman" w:cs="Times New Roman"/>
          <w:sz w:val="20"/>
          <w:szCs w:val="20"/>
          <w:u w:val="single"/>
        </w:rPr>
        <w:t>Právní předpisy o odpadech</w:t>
      </w:r>
    </w:p>
    <w:p w:rsidR="00BD7A40" w:rsidRPr="00CA138E" w:rsidRDefault="00BD7A40" w:rsidP="006F7B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 xml:space="preserve">Zákon č. </w:t>
      </w:r>
      <w:r w:rsidR="00C4192D" w:rsidRPr="00CA138E">
        <w:rPr>
          <w:rFonts w:ascii="Times New Roman" w:hAnsi="Times New Roman" w:cs="Times New Roman"/>
          <w:sz w:val="20"/>
          <w:szCs w:val="20"/>
        </w:rPr>
        <w:t>541</w:t>
      </w:r>
      <w:r w:rsidRPr="00CA138E">
        <w:rPr>
          <w:rFonts w:ascii="Times New Roman" w:hAnsi="Times New Roman" w:cs="Times New Roman"/>
          <w:sz w:val="20"/>
          <w:szCs w:val="20"/>
        </w:rPr>
        <w:t>/20</w:t>
      </w:r>
      <w:r w:rsidR="00C4192D" w:rsidRPr="00CA138E">
        <w:rPr>
          <w:rFonts w:ascii="Times New Roman" w:hAnsi="Times New Roman" w:cs="Times New Roman"/>
          <w:sz w:val="20"/>
          <w:szCs w:val="20"/>
        </w:rPr>
        <w:t>20</w:t>
      </w:r>
      <w:r w:rsidRPr="00CA138E">
        <w:rPr>
          <w:rFonts w:ascii="Times New Roman" w:hAnsi="Times New Roman" w:cs="Times New Roman"/>
          <w:sz w:val="20"/>
          <w:szCs w:val="20"/>
        </w:rPr>
        <w:t xml:space="preserve"> Sb. o odpadech, ve znění pozdějších předpisů. Jestliže se tento výrobek a jeho obal stanou odpadem, musí konečný uživatel přidělit odpovídající kód odpadu podle vyhlášky č. </w:t>
      </w:r>
      <w:r w:rsidR="00C4192D" w:rsidRPr="00CA138E">
        <w:rPr>
          <w:rFonts w:ascii="Times New Roman" w:hAnsi="Times New Roman" w:cs="Times New Roman"/>
          <w:sz w:val="20"/>
          <w:szCs w:val="20"/>
        </w:rPr>
        <w:t>8</w:t>
      </w:r>
      <w:r w:rsidR="001C0C12" w:rsidRPr="00CA138E">
        <w:rPr>
          <w:rFonts w:ascii="Times New Roman" w:hAnsi="Times New Roman" w:cs="Times New Roman"/>
          <w:sz w:val="20"/>
          <w:szCs w:val="20"/>
        </w:rPr>
        <w:t>/20</w:t>
      </w:r>
      <w:r w:rsidR="00C4192D" w:rsidRPr="00CA138E">
        <w:rPr>
          <w:rFonts w:ascii="Times New Roman" w:hAnsi="Times New Roman" w:cs="Times New Roman"/>
          <w:sz w:val="20"/>
          <w:szCs w:val="20"/>
        </w:rPr>
        <w:t>21</w:t>
      </w:r>
      <w:r w:rsidRPr="00CA138E">
        <w:rPr>
          <w:rFonts w:ascii="Times New Roman" w:hAnsi="Times New Roman" w:cs="Times New Roman"/>
          <w:sz w:val="20"/>
          <w:szCs w:val="20"/>
        </w:rPr>
        <w:t xml:space="preserve"> Sb., ve znění pozdějších předpisů. Zákon č. 477/2001 Sb. o obalech, ve znění pozdějších předpisů.</w:t>
      </w:r>
      <w:r w:rsidRPr="00CA138E">
        <w:rPr>
          <w:rFonts w:ascii="Times New Roman" w:hAnsi="Times New Roman" w:cs="Times New Roman"/>
          <w:sz w:val="20"/>
          <w:szCs w:val="20"/>
        </w:rPr>
        <w:tab/>
      </w:r>
    </w:p>
    <w:p w:rsidR="002A23B3" w:rsidRPr="00CA138E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CA138E" w:rsidTr="00607662">
        <w:tc>
          <w:tcPr>
            <w:tcW w:w="9104" w:type="dxa"/>
          </w:tcPr>
          <w:p w:rsidR="002A23B3" w:rsidRPr="00CA138E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ODDÍL 14: Informace pro přepravu </w:t>
            </w:r>
          </w:p>
        </w:tc>
      </w:tr>
    </w:tbl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2" w:name="_Toc6677967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2"/>
        <w:gridCol w:w="4532"/>
      </w:tblGrid>
      <w:tr w:rsidR="00F20434" w:rsidRPr="00CA138E" w:rsidTr="00BD7A40">
        <w:tc>
          <w:tcPr>
            <w:tcW w:w="4497" w:type="dxa"/>
          </w:tcPr>
          <w:p w:rsidR="00F20434" w:rsidRPr="00CA138E" w:rsidRDefault="00F20434" w:rsidP="00A26AC6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138E">
              <w:rPr>
                <w:rFonts w:ascii="Times New Roman" w:hAnsi="Times New Roman" w:cs="Times New Roman"/>
                <w:b/>
              </w:rPr>
              <w:t xml:space="preserve">14.1. </w:t>
            </w:r>
            <w:r w:rsidRPr="00CA138E">
              <w:rPr>
                <w:rFonts w:ascii="Times New Roman" w:hAnsi="Times New Roman" w:cs="Times New Roman"/>
                <w:b/>
                <w:bCs/>
              </w:rPr>
              <w:t>UN číslo nebo ID číslo</w:t>
            </w:r>
          </w:p>
        </w:tc>
        <w:tc>
          <w:tcPr>
            <w:tcW w:w="4605" w:type="dxa"/>
            <w:vAlign w:val="center"/>
          </w:tcPr>
          <w:p w:rsidR="00F20434" w:rsidRPr="00CA138E" w:rsidRDefault="00F20434" w:rsidP="0014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UN 1908</w:t>
            </w:r>
          </w:p>
        </w:tc>
      </w:tr>
      <w:tr w:rsidR="00F20434" w:rsidRPr="00CA138E" w:rsidTr="00BD7A40">
        <w:tc>
          <w:tcPr>
            <w:tcW w:w="4497" w:type="dxa"/>
          </w:tcPr>
          <w:p w:rsidR="00F20434" w:rsidRPr="00CA138E" w:rsidRDefault="00F20434" w:rsidP="00A26AC6">
            <w:pPr>
              <w:spacing w:before="60" w:after="0" w:line="240" w:lineRule="auto"/>
              <w:rPr>
                <w:rFonts w:ascii="Times New Roman" w:hAnsi="Times New Roman" w:cs="Times New Roman"/>
                <w:b/>
              </w:rPr>
            </w:pPr>
            <w:r w:rsidRPr="00CA138E">
              <w:rPr>
                <w:rFonts w:ascii="Times New Roman" w:hAnsi="Times New Roman" w:cs="Times New Roman"/>
                <w:b/>
              </w:rPr>
              <w:t xml:space="preserve">14.2. </w:t>
            </w:r>
            <w:r w:rsidRPr="00CA138E">
              <w:rPr>
                <w:rFonts w:ascii="Times New Roman" w:hAnsi="Times New Roman" w:cs="Times New Roman"/>
                <w:b/>
                <w:bCs/>
              </w:rPr>
              <w:t>Oficiální (OSN) pojmenování pro přepravu</w:t>
            </w:r>
          </w:p>
        </w:tc>
        <w:tc>
          <w:tcPr>
            <w:tcW w:w="4605" w:type="dxa"/>
            <w:vAlign w:val="center"/>
          </w:tcPr>
          <w:p w:rsidR="00F20434" w:rsidRPr="00CA138E" w:rsidRDefault="00F20434" w:rsidP="00140B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b/>
                <w:sz w:val="20"/>
                <w:szCs w:val="20"/>
              </w:rPr>
              <w:t>ADR/RID:</w:t>
            </w:r>
          </w:p>
          <w:p w:rsidR="00F20434" w:rsidRPr="00CA138E" w:rsidRDefault="00F20434" w:rsidP="00140BCF">
            <w:pPr>
              <w:spacing w:after="0" w:line="240" w:lineRule="auto"/>
              <w:rPr>
                <w:rFonts w:ascii="Times New Roman" w:eastAsia="CIDFont+F2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eastAsia="CIDFont+F2" w:hAnsi="Times New Roman" w:cs="Times New Roman"/>
                <w:sz w:val="20"/>
                <w:szCs w:val="20"/>
              </w:rPr>
              <w:t>CHLORITAN, ROZTOK</w:t>
            </w:r>
          </w:p>
          <w:p w:rsidR="00F20434" w:rsidRPr="00CA138E" w:rsidRDefault="00F20434" w:rsidP="00140B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b/>
                <w:sz w:val="20"/>
                <w:szCs w:val="20"/>
              </w:rPr>
              <w:t>IMDG, ICAO/IATA:</w:t>
            </w:r>
          </w:p>
          <w:p w:rsidR="00F20434" w:rsidRPr="00CA138E" w:rsidRDefault="00F20434" w:rsidP="00F2043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CHLORITE SOLUTION </w:t>
            </w:r>
          </w:p>
        </w:tc>
      </w:tr>
      <w:tr w:rsidR="000324E2" w:rsidRPr="00CA138E" w:rsidTr="00BD7A40">
        <w:tc>
          <w:tcPr>
            <w:tcW w:w="4497" w:type="dxa"/>
          </w:tcPr>
          <w:p w:rsidR="00271F62" w:rsidRPr="00CA138E" w:rsidRDefault="00271F62" w:rsidP="00A26AC6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138E">
              <w:rPr>
                <w:rFonts w:ascii="Times New Roman" w:hAnsi="Times New Roman" w:cs="Times New Roman"/>
                <w:b/>
              </w:rPr>
              <w:t xml:space="preserve">14.3. Třída/třídy nebezpečnosti pro přepravu </w:t>
            </w:r>
          </w:p>
        </w:tc>
        <w:tc>
          <w:tcPr>
            <w:tcW w:w="4605" w:type="dxa"/>
            <w:vAlign w:val="center"/>
          </w:tcPr>
          <w:p w:rsidR="00271F62" w:rsidRPr="00CA138E" w:rsidRDefault="00F20434" w:rsidP="005D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324E2" w:rsidRPr="00CA138E" w:rsidTr="00BD7A40">
        <w:tc>
          <w:tcPr>
            <w:tcW w:w="4497" w:type="dxa"/>
          </w:tcPr>
          <w:p w:rsidR="00271F62" w:rsidRPr="00CA138E" w:rsidRDefault="00271F62" w:rsidP="00A26AC6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138E">
              <w:rPr>
                <w:rFonts w:ascii="Times New Roman" w:hAnsi="Times New Roman" w:cs="Times New Roman"/>
                <w:b/>
              </w:rPr>
              <w:t xml:space="preserve">14.4. Obalová skupina </w:t>
            </w:r>
          </w:p>
        </w:tc>
        <w:tc>
          <w:tcPr>
            <w:tcW w:w="4605" w:type="dxa"/>
            <w:vAlign w:val="center"/>
          </w:tcPr>
          <w:p w:rsidR="00271F62" w:rsidRPr="00CA138E" w:rsidRDefault="00F20434" w:rsidP="005D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</w:tr>
      <w:tr w:rsidR="000324E2" w:rsidRPr="00CA138E" w:rsidTr="00BD7A40">
        <w:tc>
          <w:tcPr>
            <w:tcW w:w="4497" w:type="dxa"/>
          </w:tcPr>
          <w:p w:rsidR="00271F62" w:rsidRPr="00CA138E" w:rsidRDefault="00271F62" w:rsidP="00A26AC6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138E">
              <w:rPr>
                <w:rFonts w:ascii="Times New Roman" w:hAnsi="Times New Roman" w:cs="Times New Roman"/>
                <w:b/>
              </w:rPr>
              <w:t xml:space="preserve">14.5. Nebezpečnost pro životní prostředí </w:t>
            </w:r>
          </w:p>
        </w:tc>
        <w:tc>
          <w:tcPr>
            <w:tcW w:w="4605" w:type="dxa"/>
            <w:vAlign w:val="center"/>
          </w:tcPr>
          <w:p w:rsidR="00271F62" w:rsidRPr="00CA138E" w:rsidRDefault="00271F62" w:rsidP="005D73F3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Pr="00CA13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324E2" w:rsidRPr="00CA138E" w:rsidTr="00BD7A40">
        <w:tc>
          <w:tcPr>
            <w:tcW w:w="4497" w:type="dxa"/>
          </w:tcPr>
          <w:p w:rsidR="00271F62" w:rsidRPr="00CA138E" w:rsidRDefault="00271F62" w:rsidP="00A26AC6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138E">
              <w:rPr>
                <w:rFonts w:ascii="Times New Roman" w:hAnsi="Times New Roman" w:cs="Times New Roman"/>
                <w:b/>
              </w:rPr>
              <w:t xml:space="preserve">14.6. Zvláštní bezpečnostní opatření pro uživatele </w:t>
            </w:r>
          </w:p>
        </w:tc>
        <w:tc>
          <w:tcPr>
            <w:tcW w:w="4605" w:type="dxa"/>
            <w:vAlign w:val="center"/>
          </w:tcPr>
          <w:p w:rsidR="00271F62" w:rsidRPr="00CA138E" w:rsidRDefault="00271F62" w:rsidP="005D7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Odkaz v oddílech 4 až 8</w:t>
            </w:r>
          </w:p>
        </w:tc>
      </w:tr>
      <w:tr w:rsidR="00271F62" w:rsidRPr="00CA138E" w:rsidTr="00BD7A40">
        <w:tc>
          <w:tcPr>
            <w:tcW w:w="4497" w:type="dxa"/>
          </w:tcPr>
          <w:p w:rsidR="00271F62" w:rsidRPr="00CA138E" w:rsidRDefault="00271F62" w:rsidP="00A26AC6">
            <w:pPr>
              <w:spacing w:before="6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A138E">
              <w:rPr>
                <w:rFonts w:ascii="Times New Roman" w:hAnsi="Times New Roman" w:cs="Times New Roman"/>
                <w:b/>
              </w:rPr>
              <w:t>14.7. Námořní hromadná přeprava podle nástrojů IMO</w:t>
            </w:r>
          </w:p>
        </w:tc>
        <w:tc>
          <w:tcPr>
            <w:tcW w:w="4605" w:type="dxa"/>
            <w:vAlign w:val="center"/>
          </w:tcPr>
          <w:p w:rsidR="00271F62" w:rsidRPr="00CA138E" w:rsidRDefault="00271F62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Nevztahuje se</w:t>
            </w:r>
          </w:p>
        </w:tc>
      </w:tr>
      <w:tr w:rsidR="00F20434" w:rsidRPr="00CA138E" w:rsidTr="00BD7A40">
        <w:tc>
          <w:tcPr>
            <w:tcW w:w="4497" w:type="dxa"/>
          </w:tcPr>
          <w:p w:rsidR="00F20434" w:rsidRPr="00CA138E" w:rsidRDefault="00F20434" w:rsidP="00140BCF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Doplňující informace: </w:t>
            </w:r>
          </w:p>
        </w:tc>
        <w:tc>
          <w:tcPr>
            <w:tcW w:w="4605" w:type="dxa"/>
            <w:vAlign w:val="center"/>
          </w:tcPr>
          <w:p w:rsidR="00F20434" w:rsidRPr="00CA138E" w:rsidRDefault="00F20434" w:rsidP="00140BCF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6F2ECF68" wp14:editId="71D7C71C">
                  <wp:extent cx="970159" cy="971550"/>
                  <wp:effectExtent l="0" t="0" r="190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8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186" cy="975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0434" w:rsidRPr="00CA138E" w:rsidRDefault="00F20434" w:rsidP="00140B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Silniční přeprava – ADR</w:t>
            </w:r>
          </w:p>
          <w:p w:rsidR="00F20434" w:rsidRPr="00CA138E" w:rsidRDefault="00F20434" w:rsidP="00140B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Omezené množství </w:t>
            </w:r>
            <w:r w:rsidRPr="00CA138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CA138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     1 L</w:t>
            </w:r>
          </w:p>
          <w:p w:rsidR="00F20434" w:rsidRPr="00CA138E" w:rsidRDefault="00F20434" w:rsidP="00140B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bCs/>
                <w:sz w:val="20"/>
                <w:szCs w:val="20"/>
              </w:rPr>
              <w:t>Přepravní kategorie                              2</w:t>
            </w:r>
          </w:p>
          <w:p w:rsidR="00F20434" w:rsidRPr="00CA138E" w:rsidRDefault="00F20434" w:rsidP="00140B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bCs/>
                <w:sz w:val="20"/>
                <w:szCs w:val="20"/>
              </w:rPr>
              <w:t>Kód omezení pro tunely                       E</w:t>
            </w:r>
          </w:p>
          <w:p w:rsidR="00F20434" w:rsidRPr="00CA138E" w:rsidRDefault="00F20434" w:rsidP="00140B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b/>
                <w:sz w:val="20"/>
                <w:szCs w:val="20"/>
              </w:rPr>
              <w:t>Letecká přeprava - ICAO/IATA</w:t>
            </w:r>
          </w:p>
          <w:p w:rsidR="00F20434" w:rsidRPr="00CA138E" w:rsidRDefault="00F20434" w:rsidP="0014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Balící instrukce pasažér                          855</w:t>
            </w:r>
          </w:p>
          <w:p w:rsidR="00F20434" w:rsidRPr="00CA138E" w:rsidRDefault="00F20434" w:rsidP="0014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Balící instrukce kargo                             851</w:t>
            </w:r>
          </w:p>
          <w:p w:rsidR="00F20434" w:rsidRPr="00CA138E" w:rsidRDefault="00F20434" w:rsidP="00140B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b/>
                <w:sz w:val="20"/>
                <w:szCs w:val="20"/>
              </w:rPr>
              <w:t>Námořní přeprava – IMDG</w:t>
            </w:r>
          </w:p>
          <w:p w:rsidR="00F20434" w:rsidRPr="00CA138E" w:rsidRDefault="00F20434" w:rsidP="0014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EMS (pohotovostní plán)                        F-A, S-B</w:t>
            </w:r>
          </w:p>
          <w:p w:rsidR="00F20434" w:rsidRPr="00CA138E" w:rsidRDefault="00F20434" w:rsidP="0014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Námořní znečištění                                  Ne</w:t>
            </w:r>
          </w:p>
        </w:tc>
      </w:tr>
      <w:bookmarkEnd w:id="2"/>
    </w:tbl>
    <w:p w:rsidR="002A23B3" w:rsidRPr="00CA138E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CA138E" w:rsidTr="00607662">
        <w:tc>
          <w:tcPr>
            <w:tcW w:w="9104" w:type="dxa"/>
          </w:tcPr>
          <w:p w:rsidR="002A23B3" w:rsidRPr="00CA138E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ODDÍL 15: Informace o předpisech </w:t>
            </w:r>
          </w:p>
        </w:tc>
      </w:tr>
    </w:tbl>
    <w:p w:rsidR="00BD7A40" w:rsidRPr="00CA138E" w:rsidRDefault="00BD7A40" w:rsidP="00A26AC6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A138E">
        <w:rPr>
          <w:rFonts w:ascii="Times New Roman" w:hAnsi="Times New Roman" w:cs="Times New Roman"/>
          <w:b/>
          <w:bCs/>
        </w:rPr>
        <w:t>15.1</w:t>
      </w:r>
      <w:r w:rsidR="00CC396C" w:rsidRPr="00CA138E">
        <w:rPr>
          <w:rFonts w:ascii="Times New Roman" w:hAnsi="Times New Roman" w:cs="Times New Roman"/>
          <w:b/>
          <w:bCs/>
        </w:rPr>
        <w:t>.</w:t>
      </w:r>
      <w:r w:rsidR="004C5921" w:rsidRPr="00CA138E">
        <w:rPr>
          <w:rFonts w:ascii="Times New Roman" w:hAnsi="Times New Roman" w:cs="Times New Roman"/>
          <w:b/>
          <w:bCs/>
        </w:rPr>
        <w:t xml:space="preserve"> </w:t>
      </w:r>
      <w:r w:rsidRPr="00CA138E">
        <w:rPr>
          <w:rFonts w:ascii="Times New Roman" w:hAnsi="Times New Roman" w:cs="Times New Roman"/>
          <w:b/>
          <w:bCs/>
        </w:rPr>
        <w:t>Předpisy týkající se bezpečnosti, zdraví a životního prostředí/specifické právní předpisy týkající se látky nebo směsi</w:t>
      </w:r>
    </w:p>
    <w:p w:rsidR="00271F62" w:rsidRPr="00CA138E" w:rsidRDefault="00271F62" w:rsidP="00271F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SEVESO (prevence závažných havárií): žádné.</w:t>
      </w: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 xml:space="preserve">Omezení týkající se směsi nebo látek obsažených podle přílohy XVII nařízení REACH: </w:t>
      </w:r>
      <w:r w:rsidR="00F20434" w:rsidRPr="00CA138E">
        <w:rPr>
          <w:rFonts w:ascii="Times New Roman" w:hAnsi="Times New Roman" w:cs="Times New Roman"/>
          <w:sz w:val="20"/>
          <w:szCs w:val="20"/>
        </w:rPr>
        <w:t>bod 3.</w:t>
      </w: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Kandidátská listina (seznam SVHC látek) – článek 59 nařízení REACH: žádné.</w:t>
      </w: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 xml:space="preserve">Látky podléhající povolení (příloha XIV nařízení REACH): žádné. </w:t>
      </w:r>
    </w:p>
    <w:p w:rsidR="00271F62" w:rsidRPr="00CA138E" w:rsidRDefault="00271F62" w:rsidP="00271F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 xml:space="preserve">Látky podléhající vykazování vývozu a dovozu podle nařízení (ES) č. 649/2012: žádné. </w:t>
      </w:r>
    </w:p>
    <w:p w:rsidR="00271F62" w:rsidRPr="00CA138E" w:rsidRDefault="00271F62" w:rsidP="00271F62">
      <w:pPr>
        <w:spacing w:after="0" w:line="240" w:lineRule="auto"/>
        <w:ind w:left="1560" w:hanging="1560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Látky podléhající úmluvě Rotterdam: žádné.</w:t>
      </w:r>
    </w:p>
    <w:p w:rsidR="00271F62" w:rsidRPr="00CA138E" w:rsidRDefault="00271F62" w:rsidP="00271F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 xml:space="preserve">Látky podléhající Stockholmské úmluvy: žádné. </w:t>
      </w: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 xml:space="preserve">Nařízení Evropského parlamentu a Rady (ES) č. 1907/2006 o registraci, hodnocení, povolování a omezování chemických látek (REACH), </w:t>
      </w:r>
      <w:r w:rsidR="009607A9" w:rsidRPr="00CA138E">
        <w:rPr>
          <w:rFonts w:ascii="Times New Roman" w:hAnsi="Times New Roman" w:cs="Times New Roman"/>
          <w:sz w:val="20"/>
          <w:szCs w:val="20"/>
        </w:rPr>
        <w:t>ve znění pozdějších předpisů</w:t>
      </w: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 xml:space="preserve">Nařízení Evropského parlamentu a Rady (ES) č. 1272/2008 o klasifikaci, označování a balení látek a směsí (CLP), </w:t>
      </w:r>
      <w:r w:rsidR="009607A9" w:rsidRPr="00CA138E">
        <w:rPr>
          <w:rFonts w:ascii="Times New Roman" w:hAnsi="Times New Roman" w:cs="Times New Roman"/>
          <w:sz w:val="20"/>
          <w:szCs w:val="20"/>
        </w:rPr>
        <w:t>ve znění pozdějších předpisů</w:t>
      </w:r>
    </w:p>
    <w:p w:rsidR="002C3AD4" w:rsidRPr="00CA138E" w:rsidRDefault="002C3AD4" w:rsidP="002C3AD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 xml:space="preserve">Nařízení Evropského parlamentu a Rady (ES) </w:t>
      </w:r>
      <w:r w:rsidRPr="00CA138E">
        <w:rPr>
          <w:rFonts w:ascii="Times New Roman" w:hAnsi="Times New Roman" w:cs="Times New Roman"/>
          <w:bCs/>
          <w:sz w:val="20"/>
          <w:szCs w:val="20"/>
        </w:rPr>
        <w:t>č. 648/2004 o detergentech, ve znění pozdějších předpisů</w:t>
      </w: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 xml:space="preserve">Nařízení Evropského parlamentu a Rady (EU) </w:t>
      </w:r>
      <w:r w:rsidRPr="00CA138E">
        <w:rPr>
          <w:rFonts w:ascii="Times New Roman" w:hAnsi="Times New Roman" w:cs="Times New Roman"/>
          <w:bCs/>
          <w:sz w:val="20"/>
          <w:szCs w:val="20"/>
        </w:rPr>
        <w:t>č. 528/2012 o dodávání biocidních přípravků na trh a jejich používání</w:t>
      </w:r>
    </w:p>
    <w:p w:rsidR="00093ED6" w:rsidRPr="00CA138E" w:rsidRDefault="00BD7A40" w:rsidP="00093ED6">
      <w:pPr>
        <w:autoSpaceDE w:val="0"/>
        <w:autoSpaceDN w:val="0"/>
        <w:adjustRightInd w:val="0"/>
        <w:spacing w:after="0" w:line="240" w:lineRule="auto"/>
        <w:rPr>
          <w:rFonts w:ascii="StempelGaramondLTPro-Bold" w:hAnsi="StempelGaramondLTPro-Bold" w:cs="StempelGaramondLTPro-Bold"/>
          <w:b/>
          <w:bCs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 xml:space="preserve">Zákon č. </w:t>
      </w:r>
      <w:r w:rsidR="00093ED6" w:rsidRPr="00CA138E">
        <w:rPr>
          <w:rFonts w:ascii="Times New Roman" w:hAnsi="Times New Roman" w:cs="Times New Roman"/>
          <w:sz w:val="20"/>
          <w:szCs w:val="20"/>
        </w:rPr>
        <w:t>324/2016</w:t>
      </w:r>
      <w:r w:rsidRPr="00CA138E">
        <w:rPr>
          <w:rFonts w:ascii="Times New Roman" w:hAnsi="Times New Roman" w:cs="Times New Roman"/>
          <w:sz w:val="20"/>
          <w:szCs w:val="20"/>
        </w:rPr>
        <w:t xml:space="preserve"> Sb., </w:t>
      </w:r>
      <w:r w:rsidR="00093ED6" w:rsidRPr="00CA138E">
        <w:rPr>
          <w:rFonts w:ascii="Times New Roman" w:hAnsi="Times New Roman" w:cs="Times New Roman"/>
          <w:bCs/>
          <w:sz w:val="20"/>
          <w:szCs w:val="20"/>
        </w:rPr>
        <w:t>o biocidních přípravcích a účinných látkách a o změně některých souvisejících zákonů (zákon o biocidech)</w:t>
      </w:r>
    </w:p>
    <w:p w:rsidR="00AD319D" w:rsidRPr="00CA138E" w:rsidRDefault="00AD319D" w:rsidP="00AD31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lastRenderedPageBreak/>
        <w:t>Zákon č. 350/2011 Sb., o chemických látkách a chemických směsích, ve znění pozdějších předpisů, včetně prováděcích předpisů</w:t>
      </w: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Zákon č. 258/2000 Sb., o ochraně veřejného zdraví, ve znění pozdějších předpisů</w:t>
      </w: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Zákon č. 262/2006 Sb., zákoník práce, ve znění pozdějších předpisů</w:t>
      </w: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Zákon č. 201/2012 Sb., o ochraně ovzduší</w:t>
      </w:r>
      <w:r w:rsidR="009607A9" w:rsidRPr="00CA138E">
        <w:rPr>
          <w:rFonts w:ascii="Times New Roman" w:hAnsi="Times New Roman" w:cs="Times New Roman"/>
          <w:sz w:val="20"/>
          <w:szCs w:val="20"/>
        </w:rPr>
        <w:t>, ve znění pozdějších předpisů</w:t>
      </w: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bCs/>
          <w:sz w:val="20"/>
          <w:szCs w:val="20"/>
        </w:rPr>
        <w:t>Zákon č. 254/2001 Sb., o vodách</w:t>
      </w:r>
      <w:r w:rsidRPr="00CA138E">
        <w:rPr>
          <w:rFonts w:ascii="Times New Roman" w:hAnsi="Times New Roman" w:cs="Times New Roman"/>
          <w:sz w:val="20"/>
          <w:szCs w:val="20"/>
        </w:rPr>
        <w:t>, ve znění pozdějších předpisů</w:t>
      </w: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Nařízení vlády ČR č. 361/2007 Sb., kterým se stanoví podmínky ochrany zdraví zaměstnanců při práci</w:t>
      </w:r>
    </w:p>
    <w:p w:rsidR="00BD7A40" w:rsidRPr="00CA138E" w:rsidRDefault="00BD7A40" w:rsidP="00A26AC6">
      <w:pPr>
        <w:spacing w:before="120" w:after="0" w:line="240" w:lineRule="auto"/>
        <w:rPr>
          <w:rFonts w:ascii="Times New Roman" w:hAnsi="Times New Roman" w:cs="Times New Roman"/>
          <w:b/>
          <w:bCs/>
        </w:rPr>
      </w:pPr>
      <w:r w:rsidRPr="00CA138E">
        <w:rPr>
          <w:rFonts w:ascii="Times New Roman" w:hAnsi="Times New Roman" w:cs="Times New Roman"/>
          <w:b/>
        </w:rPr>
        <w:t>15.2</w:t>
      </w:r>
      <w:r w:rsidR="00CC396C" w:rsidRPr="00CA138E">
        <w:rPr>
          <w:rFonts w:ascii="Times New Roman" w:hAnsi="Times New Roman" w:cs="Times New Roman"/>
          <w:b/>
        </w:rPr>
        <w:t>.</w:t>
      </w:r>
      <w:r w:rsidR="004C5921" w:rsidRPr="00CA138E">
        <w:rPr>
          <w:rFonts w:ascii="Times New Roman" w:hAnsi="Times New Roman" w:cs="Times New Roman"/>
          <w:b/>
        </w:rPr>
        <w:t xml:space="preserve"> </w:t>
      </w:r>
      <w:r w:rsidRPr="00CA138E">
        <w:rPr>
          <w:rFonts w:ascii="Times New Roman" w:hAnsi="Times New Roman" w:cs="Times New Roman"/>
          <w:b/>
        </w:rPr>
        <w:t>Posouzení chemické bezpečnosti</w:t>
      </w:r>
      <w:r w:rsidRPr="00CA138E">
        <w:rPr>
          <w:rFonts w:ascii="Times New Roman" w:hAnsi="Times New Roman" w:cs="Times New Roman"/>
          <w:b/>
          <w:bCs/>
        </w:rPr>
        <w:t xml:space="preserve"> </w:t>
      </w:r>
    </w:p>
    <w:p w:rsidR="00BD7A40" w:rsidRPr="00CA138E" w:rsidRDefault="001B0CA7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Pro směs n</w:t>
      </w:r>
      <w:r w:rsidR="00BD7A40" w:rsidRPr="00CA138E">
        <w:rPr>
          <w:rFonts w:ascii="Times New Roman" w:hAnsi="Times New Roman" w:cs="Times New Roman"/>
          <w:sz w:val="20"/>
          <w:szCs w:val="20"/>
        </w:rPr>
        <w:t>ebylo provedeno posouzení chemické bezpečnosti.</w:t>
      </w:r>
    </w:p>
    <w:p w:rsidR="002A23B3" w:rsidRPr="00CA138E" w:rsidRDefault="002A23B3" w:rsidP="00BD7A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0324E2" w:rsidRPr="00CA138E" w:rsidTr="00607662">
        <w:tc>
          <w:tcPr>
            <w:tcW w:w="9104" w:type="dxa"/>
          </w:tcPr>
          <w:p w:rsidR="002A23B3" w:rsidRPr="00CA138E" w:rsidRDefault="006F2E1F" w:rsidP="006F2E1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38E">
              <w:rPr>
                <w:rFonts w:ascii="Times New Roman" w:hAnsi="Times New Roman" w:cs="Times New Roman"/>
                <w:b/>
                <w:sz w:val="24"/>
                <w:szCs w:val="24"/>
              </w:rPr>
              <w:t>ODDÍL 16: Další informace</w:t>
            </w:r>
          </w:p>
        </w:tc>
      </w:tr>
    </w:tbl>
    <w:p w:rsidR="00BD7A40" w:rsidRPr="00CA138E" w:rsidRDefault="00BD7A40" w:rsidP="00A26AC6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A138E">
        <w:rPr>
          <w:rFonts w:ascii="Times New Roman" w:hAnsi="Times New Roman" w:cs="Times New Roman"/>
          <w:sz w:val="20"/>
          <w:szCs w:val="20"/>
          <w:u w:val="single"/>
        </w:rPr>
        <w:t xml:space="preserve">Změny bezpečnostního listu </w:t>
      </w: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A138E">
        <w:rPr>
          <w:rFonts w:ascii="Times New Roman" w:hAnsi="Times New Roman" w:cs="Times New Roman"/>
          <w:bCs/>
          <w:sz w:val="20"/>
          <w:szCs w:val="20"/>
        </w:rPr>
        <w:t xml:space="preserve">Datum vydání bezpečnostního listu výrobce: </w:t>
      </w:r>
      <w:r w:rsidR="00F20434" w:rsidRPr="00CA138E">
        <w:rPr>
          <w:rFonts w:ascii="Times New Roman" w:hAnsi="Times New Roman" w:cs="Times New Roman"/>
          <w:bCs/>
          <w:sz w:val="20"/>
          <w:szCs w:val="20"/>
        </w:rPr>
        <w:t>1</w:t>
      </w:r>
      <w:r w:rsidR="004A4C90" w:rsidRPr="00CA138E">
        <w:rPr>
          <w:rFonts w:ascii="Times New Roman" w:hAnsi="Times New Roman" w:cs="Times New Roman"/>
          <w:bCs/>
          <w:sz w:val="20"/>
          <w:szCs w:val="20"/>
        </w:rPr>
        <w:t>3</w:t>
      </w:r>
      <w:r w:rsidR="00271F62" w:rsidRPr="00CA138E">
        <w:rPr>
          <w:rFonts w:ascii="Times New Roman" w:hAnsi="Times New Roman" w:cs="Times New Roman"/>
          <w:sz w:val="20"/>
          <w:szCs w:val="20"/>
        </w:rPr>
        <w:t xml:space="preserve">. </w:t>
      </w:r>
      <w:r w:rsidR="004A4C90" w:rsidRPr="00CA138E">
        <w:rPr>
          <w:rFonts w:ascii="Times New Roman" w:hAnsi="Times New Roman" w:cs="Times New Roman"/>
          <w:sz w:val="20"/>
          <w:szCs w:val="20"/>
        </w:rPr>
        <w:t>4</w:t>
      </w:r>
      <w:r w:rsidR="00271F62" w:rsidRPr="00CA138E">
        <w:rPr>
          <w:rFonts w:ascii="Times New Roman" w:hAnsi="Times New Roman" w:cs="Times New Roman"/>
          <w:sz w:val="20"/>
          <w:szCs w:val="20"/>
        </w:rPr>
        <w:t>. 202</w:t>
      </w:r>
      <w:r w:rsidR="004A4C90" w:rsidRPr="00CA138E">
        <w:rPr>
          <w:rFonts w:ascii="Times New Roman" w:hAnsi="Times New Roman" w:cs="Times New Roman"/>
          <w:sz w:val="20"/>
          <w:szCs w:val="20"/>
        </w:rPr>
        <w:t>3</w:t>
      </w:r>
      <w:r w:rsidR="00271F62" w:rsidRPr="00CA138E">
        <w:rPr>
          <w:rFonts w:ascii="Times New Roman" w:hAnsi="Times New Roman" w:cs="Times New Roman"/>
          <w:sz w:val="20"/>
          <w:szCs w:val="20"/>
        </w:rPr>
        <w:t xml:space="preserve"> / verze 1</w:t>
      </w: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A138E">
        <w:rPr>
          <w:rFonts w:ascii="Times New Roman" w:hAnsi="Times New Roman" w:cs="Times New Roman"/>
          <w:bCs/>
          <w:sz w:val="20"/>
          <w:szCs w:val="20"/>
        </w:rPr>
        <w:t>Historie revizí: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266"/>
        <w:gridCol w:w="6979"/>
      </w:tblGrid>
      <w:tr w:rsidR="000324E2" w:rsidRPr="00CA138E" w:rsidTr="00BD7A40">
        <w:tc>
          <w:tcPr>
            <w:tcW w:w="709" w:type="dxa"/>
          </w:tcPr>
          <w:p w:rsidR="00BD7A40" w:rsidRPr="00CA138E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Verze</w:t>
            </w:r>
          </w:p>
        </w:tc>
        <w:tc>
          <w:tcPr>
            <w:tcW w:w="1276" w:type="dxa"/>
          </w:tcPr>
          <w:p w:rsidR="00BD7A40" w:rsidRPr="00CA138E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</w:tc>
        <w:tc>
          <w:tcPr>
            <w:tcW w:w="7087" w:type="dxa"/>
          </w:tcPr>
          <w:p w:rsidR="00BD7A40" w:rsidRPr="00CA138E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Změny </w:t>
            </w:r>
          </w:p>
        </w:tc>
      </w:tr>
      <w:tr w:rsidR="000324E2" w:rsidRPr="00CA138E" w:rsidTr="00BD7A40">
        <w:tc>
          <w:tcPr>
            <w:tcW w:w="709" w:type="dxa"/>
          </w:tcPr>
          <w:p w:rsidR="00BD7A40" w:rsidRPr="00CA138E" w:rsidRDefault="00271F62" w:rsidP="00271F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7A40" w:rsidRPr="00CA138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276" w:type="dxa"/>
          </w:tcPr>
          <w:p w:rsidR="00BD7A40" w:rsidRPr="00CA138E" w:rsidRDefault="00CA138E" w:rsidP="00CA1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71F62" w:rsidRPr="00CA13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71F62" w:rsidRPr="00CA138E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</w:tcPr>
          <w:p w:rsidR="00BD7A40" w:rsidRPr="00CA138E" w:rsidRDefault="00BD7A40" w:rsidP="00BD7A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38E">
              <w:rPr>
                <w:rFonts w:ascii="Times New Roman" w:hAnsi="Times New Roman" w:cs="Times New Roman"/>
                <w:sz w:val="20"/>
                <w:szCs w:val="20"/>
              </w:rPr>
              <w:t>První vydání podle nařízení Evropského parlamentu a Rady (ES) č. 1907/2006</w:t>
            </w:r>
          </w:p>
        </w:tc>
      </w:tr>
    </w:tbl>
    <w:p w:rsidR="00BD7A40" w:rsidRPr="00CA138E" w:rsidRDefault="00BD7A40" w:rsidP="00A26AC6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A138E">
        <w:rPr>
          <w:rFonts w:ascii="Times New Roman" w:hAnsi="Times New Roman" w:cs="Times New Roman"/>
          <w:sz w:val="20"/>
          <w:szCs w:val="20"/>
          <w:u w:val="single"/>
        </w:rPr>
        <w:t>Legenda ke zkratkám a zkratkovým slovům</w:t>
      </w: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 xml:space="preserve">CAS </w:t>
      </w:r>
      <w:r w:rsidRPr="00CA138E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CA138E">
        <w:rPr>
          <w:rFonts w:ascii="Times New Roman" w:hAnsi="Times New Roman" w:cs="Times New Roman"/>
          <w:sz w:val="20"/>
          <w:szCs w:val="20"/>
        </w:rPr>
        <w:t>Chemical</w:t>
      </w:r>
      <w:proofErr w:type="spellEnd"/>
      <w:r w:rsidRPr="00CA13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A138E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CA13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A138E">
        <w:rPr>
          <w:rFonts w:ascii="Times New Roman" w:hAnsi="Times New Roman" w:cs="Times New Roman"/>
          <w:sz w:val="20"/>
          <w:szCs w:val="20"/>
        </w:rPr>
        <w:t>Service</w:t>
      </w:r>
      <w:proofErr w:type="spellEnd"/>
      <w:r w:rsidRPr="00CA138E">
        <w:rPr>
          <w:rFonts w:ascii="Times New Roman" w:hAnsi="Times New Roman" w:cs="Times New Roman"/>
          <w:sz w:val="20"/>
          <w:szCs w:val="20"/>
        </w:rPr>
        <w:t xml:space="preserve"> (číselný identifikátor chemických látek - více na www.cas.org)</w:t>
      </w: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 xml:space="preserve">ES </w:t>
      </w:r>
      <w:r w:rsidRPr="00CA138E">
        <w:rPr>
          <w:rFonts w:ascii="Times New Roman" w:hAnsi="Times New Roman" w:cs="Times New Roman"/>
          <w:sz w:val="20"/>
          <w:szCs w:val="20"/>
        </w:rPr>
        <w:tab/>
        <w:t>číselný identifikátor chemických látek pro seznamy EINECS, ELINCS a NLP</w:t>
      </w: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 xml:space="preserve">PBT </w:t>
      </w:r>
      <w:r w:rsidRPr="00CA138E">
        <w:rPr>
          <w:rFonts w:ascii="Times New Roman" w:hAnsi="Times New Roman" w:cs="Times New Roman"/>
          <w:sz w:val="20"/>
          <w:szCs w:val="20"/>
        </w:rPr>
        <w:tab/>
        <w:t xml:space="preserve">látky perzistentní, </w:t>
      </w:r>
      <w:proofErr w:type="spellStart"/>
      <w:r w:rsidRPr="00CA138E">
        <w:rPr>
          <w:rFonts w:ascii="Times New Roman" w:hAnsi="Times New Roman" w:cs="Times New Roman"/>
          <w:sz w:val="20"/>
          <w:szCs w:val="20"/>
        </w:rPr>
        <w:t>bioakumulativní</w:t>
      </w:r>
      <w:proofErr w:type="spellEnd"/>
      <w:r w:rsidRPr="00CA138E">
        <w:rPr>
          <w:rFonts w:ascii="Times New Roman" w:hAnsi="Times New Roman" w:cs="Times New Roman"/>
          <w:sz w:val="20"/>
          <w:szCs w:val="20"/>
        </w:rPr>
        <w:t xml:space="preserve"> a toxické</w:t>
      </w: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A138E">
        <w:rPr>
          <w:rFonts w:ascii="Times New Roman" w:hAnsi="Times New Roman" w:cs="Times New Roman"/>
          <w:sz w:val="20"/>
          <w:szCs w:val="20"/>
        </w:rPr>
        <w:t>vPvB</w:t>
      </w:r>
      <w:proofErr w:type="spellEnd"/>
      <w:r w:rsidRPr="00CA138E">
        <w:rPr>
          <w:rFonts w:ascii="Times New Roman" w:hAnsi="Times New Roman" w:cs="Times New Roman"/>
          <w:sz w:val="20"/>
          <w:szCs w:val="20"/>
        </w:rPr>
        <w:t xml:space="preserve"> </w:t>
      </w:r>
      <w:r w:rsidRPr="00CA138E">
        <w:rPr>
          <w:rFonts w:ascii="Times New Roman" w:hAnsi="Times New Roman" w:cs="Times New Roman"/>
          <w:sz w:val="20"/>
          <w:szCs w:val="20"/>
        </w:rPr>
        <w:tab/>
        <w:t xml:space="preserve">látky vysoce perzistentní a vysoce </w:t>
      </w:r>
      <w:proofErr w:type="spellStart"/>
      <w:r w:rsidRPr="00CA138E">
        <w:rPr>
          <w:rFonts w:ascii="Times New Roman" w:hAnsi="Times New Roman" w:cs="Times New Roman"/>
          <w:sz w:val="20"/>
          <w:szCs w:val="20"/>
        </w:rPr>
        <w:t>bioakumulativní</w:t>
      </w:r>
      <w:proofErr w:type="spellEnd"/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 xml:space="preserve">NPK-P </w:t>
      </w:r>
      <w:r w:rsidRPr="00CA138E">
        <w:rPr>
          <w:rFonts w:ascii="Times New Roman" w:hAnsi="Times New Roman" w:cs="Times New Roman"/>
          <w:sz w:val="20"/>
          <w:szCs w:val="20"/>
        </w:rPr>
        <w:tab/>
        <w:t>nejvyšší přípustná koncentrace chemické látky v pracovním prostředí, dlouhodobý (8 hod)</w:t>
      </w: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 xml:space="preserve">PEL </w:t>
      </w:r>
      <w:r w:rsidRPr="00CA138E">
        <w:rPr>
          <w:rFonts w:ascii="Times New Roman" w:hAnsi="Times New Roman" w:cs="Times New Roman"/>
          <w:sz w:val="20"/>
          <w:szCs w:val="20"/>
        </w:rPr>
        <w:tab/>
        <w:t>přípustný expoziční limit chemické látky v pracovním prostředí</w:t>
      </w: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LD</w:t>
      </w:r>
      <w:r w:rsidRPr="00CA138E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Pr="00CA138E">
        <w:rPr>
          <w:rFonts w:ascii="Times New Roman" w:hAnsi="Times New Roman" w:cs="Times New Roman"/>
          <w:sz w:val="20"/>
          <w:szCs w:val="20"/>
        </w:rPr>
        <w:t xml:space="preserve"> </w:t>
      </w:r>
      <w:r w:rsidRPr="00CA138E">
        <w:rPr>
          <w:rFonts w:ascii="Times New Roman" w:hAnsi="Times New Roman" w:cs="Times New Roman"/>
          <w:sz w:val="20"/>
          <w:szCs w:val="20"/>
        </w:rPr>
        <w:tab/>
        <w:t>hodnota označuje dávku, která způsobí smrt 50 % zvířat po jejím podání</w:t>
      </w: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LC</w:t>
      </w:r>
      <w:r w:rsidRPr="00CA138E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Pr="00CA138E">
        <w:rPr>
          <w:rFonts w:ascii="Times New Roman" w:hAnsi="Times New Roman" w:cs="Times New Roman"/>
          <w:sz w:val="20"/>
          <w:szCs w:val="20"/>
        </w:rPr>
        <w:t xml:space="preserve"> </w:t>
      </w:r>
      <w:r w:rsidRPr="00CA138E">
        <w:rPr>
          <w:rFonts w:ascii="Times New Roman" w:hAnsi="Times New Roman" w:cs="Times New Roman"/>
          <w:sz w:val="20"/>
          <w:szCs w:val="20"/>
        </w:rPr>
        <w:tab/>
        <w:t>hodnota označuje koncentraci, která způsobí smrt 50 % zvířat po jejím podání</w:t>
      </w: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EC</w:t>
      </w:r>
      <w:r w:rsidRPr="00CA138E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Pr="00CA138E">
        <w:rPr>
          <w:rFonts w:ascii="Times New Roman" w:hAnsi="Times New Roman" w:cs="Times New Roman"/>
          <w:sz w:val="20"/>
          <w:szCs w:val="20"/>
        </w:rPr>
        <w:t xml:space="preserve"> </w:t>
      </w:r>
      <w:r w:rsidRPr="00CA138E">
        <w:rPr>
          <w:rFonts w:ascii="Times New Roman" w:hAnsi="Times New Roman" w:cs="Times New Roman"/>
          <w:sz w:val="20"/>
          <w:szCs w:val="20"/>
        </w:rPr>
        <w:tab/>
        <w:t xml:space="preserve">koncentrace látky, při které dochází u 50 % zvířat k účinnému působení na organismus </w:t>
      </w: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 xml:space="preserve">SVHC </w:t>
      </w:r>
      <w:r w:rsidRPr="00CA138E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CA138E">
        <w:rPr>
          <w:rFonts w:ascii="Times New Roman" w:hAnsi="Times New Roman" w:cs="Times New Roman"/>
          <w:sz w:val="20"/>
          <w:szCs w:val="20"/>
        </w:rPr>
        <w:t>Substances</w:t>
      </w:r>
      <w:proofErr w:type="spellEnd"/>
      <w:r w:rsidRPr="00CA13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A138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CA138E">
        <w:rPr>
          <w:rFonts w:ascii="Times New Roman" w:hAnsi="Times New Roman" w:cs="Times New Roman"/>
          <w:sz w:val="20"/>
          <w:szCs w:val="20"/>
        </w:rPr>
        <w:t xml:space="preserve"> Very </w:t>
      </w:r>
      <w:proofErr w:type="spellStart"/>
      <w:r w:rsidRPr="00CA138E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Pr="00CA13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A138E">
        <w:rPr>
          <w:rFonts w:ascii="Times New Roman" w:hAnsi="Times New Roman" w:cs="Times New Roman"/>
          <w:sz w:val="20"/>
          <w:szCs w:val="20"/>
        </w:rPr>
        <w:t>Concern</w:t>
      </w:r>
      <w:proofErr w:type="spellEnd"/>
      <w:r w:rsidRPr="00CA138E">
        <w:rPr>
          <w:rFonts w:ascii="Times New Roman" w:hAnsi="Times New Roman" w:cs="Times New Roman"/>
          <w:sz w:val="20"/>
          <w:szCs w:val="20"/>
        </w:rPr>
        <w:t xml:space="preserve"> - látky vzbuzující mimořádné obavy</w:t>
      </w: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A138E">
        <w:rPr>
          <w:rFonts w:ascii="Times New Roman" w:hAnsi="Times New Roman" w:cs="Times New Roman"/>
          <w:bCs/>
          <w:sz w:val="20"/>
          <w:szCs w:val="20"/>
        </w:rPr>
        <w:t>DNEL</w:t>
      </w:r>
      <w:r w:rsidRPr="00CA138E">
        <w:rPr>
          <w:rFonts w:ascii="Times New Roman" w:hAnsi="Times New Roman" w:cs="Times New Roman"/>
          <w:bCs/>
          <w:sz w:val="20"/>
          <w:szCs w:val="20"/>
        </w:rPr>
        <w:tab/>
      </w:r>
      <w:proofErr w:type="spellStart"/>
      <w:r w:rsidRPr="00CA138E">
        <w:rPr>
          <w:rFonts w:ascii="Times New Roman" w:hAnsi="Times New Roman" w:cs="Times New Roman"/>
          <w:bCs/>
          <w:sz w:val="20"/>
          <w:szCs w:val="20"/>
        </w:rPr>
        <w:t>Derived</w:t>
      </w:r>
      <w:proofErr w:type="spellEnd"/>
      <w:r w:rsidRPr="00CA138E">
        <w:rPr>
          <w:rFonts w:ascii="Times New Roman" w:hAnsi="Times New Roman" w:cs="Times New Roman"/>
          <w:bCs/>
          <w:sz w:val="20"/>
          <w:szCs w:val="20"/>
        </w:rPr>
        <w:t xml:space="preserve"> No </w:t>
      </w:r>
      <w:proofErr w:type="spellStart"/>
      <w:r w:rsidRPr="00CA138E">
        <w:rPr>
          <w:rFonts w:ascii="Times New Roman" w:hAnsi="Times New Roman" w:cs="Times New Roman"/>
          <w:bCs/>
          <w:sz w:val="20"/>
          <w:szCs w:val="20"/>
        </w:rPr>
        <w:t>Effect</w:t>
      </w:r>
      <w:proofErr w:type="spellEnd"/>
      <w:r w:rsidRPr="00CA138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A138E">
        <w:rPr>
          <w:rFonts w:ascii="Times New Roman" w:hAnsi="Times New Roman" w:cs="Times New Roman"/>
          <w:bCs/>
          <w:sz w:val="20"/>
          <w:szCs w:val="20"/>
        </w:rPr>
        <w:t>Level</w:t>
      </w:r>
      <w:proofErr w:type="spellEnd"/>
      <w:r w:rsidRPr="00CA138E">
        <w:rPr>
          <w:rFonts w:ascii="Times New Roman" w:hAnsi="Times New Roman" w:cs="Times New Roman"/>
          <w:bCs/>
          <w:sz w:val="20"/>
          <w:szCs w:val="20"/>
        </w:rPr>
        <w:t xml:space="preserve"> (odvozená koncentrace látky, při které nedochází k nepříznivým účinkům)</w:t>
      </w:r>
    </w:p>
    <w:p w:rsidR="00BD7A40" w:rsidRPr="00CA138E" w:rsidRDefault="00BD7A40" w:rsidP="00473757">
      <w:pPr>
        <w:spacing w:after="0" w:line="240" w:lineRule="auto"/>
        <w:ind w:left="709" w:hanging="709"/>
        <w:rPr>
          <w:rFonts w:ascii="Times New Roman" w:hAnsi="Times New Roman" w:cs="Times New Roman"/>
          <w:bCs/>
          <w:sz w:val="20"/>
          <w:szCs w:val="20"/>
        </w:rPr>
      </w:pPr>
      <w:r w:rsidRPr="00CA138E">
        <w:rPr>
          <w:rFonts w:ascii="Times New Roman" w:hAnsi="Times New Roman" w:cs="Times New Roman"/>
          <w:bCs/>
          <w:sz w:val="20"/>
          <w:szCs w:val="20"/>
        </w:rPr>
        <w:t>PNEC</w:t>
      </w:r>
      <w:r w:rsidRPr="00CA138E">
        <w:rPr>
          <w:rFonts w:ascii="Times New Roman" w:hAnsi="Times New Roman" w:cs="Times New Roman"/>
          <w:bCs/>
          <w:sz w:val="20"/>
          <w:szCs w:val="20"/>
        </w:rPr>
        <w:tab/>
      </w:r>
      <w:proofErr w:type="spellStart"/>
      <w:r w:rsidRPr="00CA138E">
        <w:rPr>
          <w:rFonts w:ascii="Times New Roman" w:hAnsi="Times New Roman" w:cs="Times New Roman"/>
          <w:bCs/>
          <w:sz w:val="20"/>
          <w:szCs w:val="20"/>
        </w:rPr>
        <w:t>Predicted</w:t>
      </w:r>
      <w:proofErr w:type="spellEnd"/>
      <w:r w:rsidRPr="00CA138E">
        <w:rPr>
          <w:rFonts w:ascii="Times New Roman" w:hAnsi="Times New Roman" w:cs="Times New Roman"/>
          <w:bCs/>
          <w:sz w:val="20"/>
          <w:szCs w:val="20"/>
        </w:rPr>
        <w:t xml:space="preserve"> No </w:t>
      </w:r>
      <w:proofErr w:type="spellStart"/>
      <w:r w:rsidRPr="00CA138E">
        <w:rPr>
          <w:rFonts w:ascii="Times New Roman" w:hAnsi="Times New Roman" w:cs="Times New Roman"/>
          <w:bCs/>
          <w:sz w:val="20"/>
          <w:szCs w:val="20"/>
        </w:rPr>
        <w:t>Effect</w:t>
      </w:r>
      <w:proofErr w:type="spellEnd"/>
      <w:r w:rsidRPr="00CA138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A138E">
        <w:rPr>
          <w:rFonts w:ascii="Times New Roman" w:hAnsi="Times New Roman" w:cs="Times New Roman"/>
          <w:bCs/>
          <w:sz w:val="20"/>
          <w:szCs w:val="20"/>
        </w:rPr>
        <w:t>Concentration</w:t>
      </w:r>
      <w:proofErr w:type="spellEnd"/>
      <w:r w:rsidRPr="00CA138E">
        <w:rPr>
          <w:rFonts w:ascii="Times New Roman" w:hAnsi="Times New Roman" w:cs="Times New Roman"/>
          <w:bCs/>
          <w:sz w:val="20"/>
          <w:szCs w:val="20"/>
        </w:rPr>
        <w:t xml:space="preserve"> (odhad koncentrace látky, při které nedochází k nepříznivým účinkům)</w:t>
      </w:r>
    </w:p>
    <w:p w:rsidR="00F20434" w:rsidRPr="00CA138E" w:rsidRDefault="00F20434" w:rsidP="00392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A138E">
        <w:rPr>
          <w:rFonts w:ascii="Times New Roman" w:hAnsi="Times New Roman" w:cs="Times New Roman"/>
          <w:sz w:val="20"/>
          <w:szCs w:val="20"/>
        </w:rPr>
        <w:t>Ox</w:t>
      </w:r>
      <w:proofErr w:type="spellEnd"/>
      <w:r w:rsidRPr="00CA138E">
        <w:rPr>
          <w:rFonts w:ascii="Times New Roman" w:hAnsi="Times New Roman" w:cs="Times New Roman"/>
          <w:sz w:val="20"/>
          <w:szCs w:val="20"/>
        </w:rPr>
        <w:t>. Sol. 1</w:t>
      </w:r>
      <w:r w:rsidR="00392471" w:rsidRPr="00CA138E">
        <w:rPr>
          <w:rFonts w:ascii="Times New Roman" w:hAnsi="Times New Roman" w:cs="Times New Roman"/>
          <w:sz w:val="20"/>
          <w:szCs w:val="20"/>
        </w:rPr>
        <w:tab/>
      </w:r>
      <w:r w:rsidR="00CA138E" w:rsidRPr="00CA138E">
        <w:rPr>
          <w:rFonts w:ascii="Times New Roman" w:hAnsi="Times New Roman" w:cs="Times New Roman"/>
          <w:sz w:val="20"/>
          <w:szCs w:val="20"/>
        </w:rPr>
        <w:tab/>
      </w:r>
      <w:r w:rsidR="00392471" w:rsidRPr="00CA138E">
        <w:rPr>
          <w:rFonts w:ascii="Times New Roman" w:hAnsi="Times New Roman" w:cs="Times New Roman"/>
          <w:sz w:val="20"/>
          <w:szCs w:val="20"/>
        </w:rPr>
        <w:t>Oxidující tuhá látka, kategorie 1</w:t>
      </w:r>
    </w:p>
    <w:p w:rsidR="00392471" w:rsidRPr="00CA138E" w:rsidRDefault="00392471" w:rsidP="0039247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A138E">
        <w:rPr>
          <w:rFonts w:ascii="Times New Roman" w:hAnsi="Times New Roman" w:cs="Times New Roman"/>
          <w:sz w:val="20"/>
          <w:szCs w:val="20"/>
        </w:rPr>
        <w:t>Acute</w:t>
      </w:r>
      <w:proofErr w:type="spellEnd"/>
      <w:r w:rsidRPr="00CA13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A138E">
        <w:rPr>
          <w:rFonts w:ascii="Times New Roman" w:hAnsi="Times New Roman" w:cs="Times New Roman"/>
          <w:sz w:val="20"/>
          <w:szCs w:val="20"/>
        </w:rPr>
        <w:t>Tox</w:t>
      </w:r>
      <w:proofErr w:type="spellEnd"/>
      <w:r w:rsidRPr="00CA138E">
        <w:rPr>
          <w:rFonts w:ascii="Times New Roman" w:hAnsi="Times New Roman" w:cs="Times New Roman"/>
          <w:sz w:val="20"/>
          <w:szCs w:val="20"/>
        </w:rPr>
        <w:t>. 2, 3</w:t>
      </w:r>
      <w:r w:rsidRPr="00CA138E">
        <w:rPr>
          <w:rFonts w:ascii="Times New Roman" w:hAnsi="Times New Roman" w:cs="Times New Roman"/>
          <w:sz w:val="20"/>
          <w:szCs w:val="20"/>
        </w:rPr>
        <w:tab/>
      </w:r>
      <w:r w:rsidR="00CA138E" w:rsidRPr="00CA138E">
        <w:rPr>
          <w:rFonts w:ascii="Times New Roman" w:hAnsi="Times New Roman" w:cs="Times New Roman"/>
          <w:sz w:val="20"/>
          <w:szCs w:val="20"/>
        </w:rPr>
        <w:tab/>
      </w:r>
      <w:r w:rsidRPr="00CA138E">
        <w:rPr>
          <w:rFonts w:ascii="Times New Roman" w:hAnsi="Times New Roman" w:cs="Times New Roman"/>
          <w:sz w:val="20"/>
          <w:szCs w:val="20"/>
        </w:rPr>
        <w:t>Akutní toxicita, kategorie 2, 3</w:t>
      </w:r>
    </w:p>
    <w:p w:rsidR="00392471" w:rsidRPr="00CA138E" w:rsidRDefault="00392471" w:rsidP="0039247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A138E">
        <w:rPr>
          <w:rFonts w:ascii="Times New Roman" w:eastAsia="Arial Unicode MS" w:hAnsi="Times New Roman" w:cs="Times New Roman"/>
          <w:sz w:val="20"/>
          <w:szCs w:val="20"/>
        </w:rPr>
        <w:t>Eye</w:t>
      </w:r>
      <w:proofErr w:type="spellEnd"/>
      <w:r w:rsidRPr="00CA138E">
        <w:rPr>
          <w:rFonts w:ascii="Times New Roman" w:eastAsia="Arial Unicode MS" w:hAnsi="Times New Roman" w:cs="Times New Roman"/>
          <w:sz w:val="20"/>
          <w:szCs w:val="20"/>
        </w:rPr>
        <w:t xml:space="preserve"> Dam. 1</w:t>
      </w:r>
      <w:r w:rsidRPr="00CA138E">
        <w:rPr>
          <w:rFonts w:ascii="Times New Roman" w:eastAsia="Arial Unicode MS" w:hAnsi="Times New Roman" w:cs="Times New Roman"/>
          <w:sz w:val="20"/>
          <w:szCs w:val="20"/>
        </w:rPr>
        <w:tab/>
      </w:r>
      <w:r w:rsidR="00CA138E" w:rsidRPr="00CA138E">
        <w:rPr>
          <w:rFonts w:ascii="Times New Roman" w:eastAsia="Arial Unicode MS" w:hAnsi="Times New Roman" w:cs="Times New Roman"/>
          <w:sz w:val="20"/>
          <w:szCs w:val="20"/>
        </w:rPr>
        <w:tab/>
      </w:r>
      <w:r w:rsidRPr="00CA138E">
        <w:rPr>
          <w:rFonts w:ascii="Times New Roman" w:eastAsia="Arial Unicode MS" w:hAnsi="Times New Roman" w:cs="Times New Roman"/>
          <w:sz w:val="20"/>
          <w:szCs w:val="20"/>
        </w:rPr>
        <w:t>Vážné poškození očí, kategorie 1</w:t>
      </w:r>
    </w:p>
    <w:p w:rsidR="00392471" w:rsidRPr="00CA138E" w:rsidRDefault="00392471" w:rsidP="00392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 xml:space="preserve">Skin </w:t>
      </w:r>
      <w:proofErr w:type="spellStart"/>
      <w:r w:rsidRPr="00CA138E">
        <w:rPr>
          <w:rFonts w:ascii="Times New Roman" w:hAnsi="Times New Roman" w:cs="Times New Roman"/>
          <w:sz w:val="20"/>
          <w:szCs w:val="20"/>
        </w:rPr>
        <w:t>Corr</w:t>
      </w:r>
      <w:proofErr w:type="spellEnd"/>
      <w:r w:rsidRPr="00CA138E">
        <w:rPr>
          <w:rFonts w:ascii="Times New Roman" w:hAnsi="Times New Roman" w:cs="Times New Roman"/>
          <w:sz w:val="20"/>
          <w:szCs w:val="20"/>
        </w:rPr>
        <w:t xml:space="preserve">. 1B </w:t>
      </w:r>
      <w:r w:rsidRPr="00CA138E">
        <w:rPr>
          <w:rFonts w:ascii="Times New Roman" w:hAnsi="Times New Roman" w:cs="Times New Roman"/>
          <w:sz w:val="20"/>
          <w:szCs w:val="20"/>
        </w:rPr>
        <w:tab/>
      </w:r>
      <w:r w:rsidR="00CA138E" w:rsidRPr="00CA138E">
        <w:rPr>
          <w:rFonts w:ascii="Times New Roman" w:hAnsi="Times New Roman" w:cs="Times New Roman"/>
          <w:sz w:val="20"/>
          <w:szCs w:val="20"/>
        </w:rPr>
        <w:tab/>
      </w:r>
      <w:r w:rsidRPr="00CA138E">
        <w:rPr>
          <w:rFonts w:ascii="Times New Roman" w:hAnsi="Times New Roman" w:cs="Times New Roman"/>
          <w:sz w:val="20"/>
          <w:szCs w:val="20"/>
        </w:rPr>
        <w:t xml:space="preserve">Žíravost pro kůži, kategorie 1B </w:t>
      </w:r>
    </w:p>
    <w:p w:rsidR="00F20434" w:rsidRPr="00CA138E" w:rsidRDefault="00F20434" w:rsidP="00392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 xml:space="preserve">STOT RE 2 </w:t>
      </w:r>
      <w:r w:rsidR="00392471" w:rsidRPr="00CA138E">
        <w:rPr>
          <w:rFonts w:ascii="Times New Roman" w:hAnsi="Times New Roman" w:cs="Times New Roman"/>
          <w:sz w:val="20"/>
          <w:szCs w:val="20"/>
        </w:rPr>
        <w:tab/>
      </w:r>
      <w:r w:rsidR="00392471" w:rsidRPr="00CA138E">
        <w:rPr>
          <w:rFonts w:ascii="Times New Roman" w:hAnsi="Times New Roman" w:cs="Times New Roman"/>
          <w:sz w:val="20"/>
          <w:szCs w:val="20"/>
        </w:rPr>
        <w:tab/>
        <w:t>Toxicita pro specifické cílové orgány – opakovaná expozice, kategorie 2</w:t>
      </w:r>
    </w:p>
    <w:p w:rsidR="00F20434" w:rsidRPr="00CA138E" w:rsidRDefault="00F20434" w:rsidP="00392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A138E">
        <w:rPr>
          <w:rFonts w:ascii="Times New Roman" w:hAnsi="Times New Roman" w:cs="Times New Roman"/>
          <w:sz w:val="20"/>
          <w:szCs w:val="20"/>
        </w:rPr>
        <w:t>Aquatic</w:t>
      </w:r>
      <w:proofErr w:type="spellEnd"/>
      <w:r w:rsidRPr="00CA13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A138E">
        <w:rPr>
          <w:rFonts w:ascii="Times New Roman" w:hAnsi="Times New Roman" w:cs="Times New Roman"/>
          <w:sz w:val="20"/>
          <w:szCs w:val="20"/>
        </w:rPr>
        <w:t>Acute</w:t>
      </w:r>
      <w:proofErr w:type="spellEnd"/>
      <w:r w:rsidRPr="00CA138E">
        <w:rPr>
          <w:rFonts w:ascii="Times New Roman" w:hAnsi="Times New Roman" w:cs="Times New Roman"/>
          <w:sz w:val="20"/>
          <w:szCs w:val="20"/>
        </w:rPr>
        <w:t xml:space="preserve"> 1 </w:t>
      </w:r>
      <w:r w:rsidR="00392471" w:rsidRPr="00CA138E">
        <w:rPr>
          <w:rFonts w:ascii="Times New Roman" w:hAnsi="Times New Roman" w:cs="Times New Roman"/>
          <w:sz w:val="20"/>
          <w:szCs w:val="20"/>
        </w:rPr>
        <w:tab/>
      </w:r>
      <w:r w:rsidR="00392471" w:rsidRPr="00CA138E">
        <w:rPr>
          <w:rFonts w:ascii="Times New Roman" w:hAnsi="Times New Roman" w:cs="Times New Roman"/>
          <w:sz w:val="20"/>
          <w:szCs w:val="20"/>
        </w:rPr>
        <w:tab/>
        <w:t>Nebezpečný pro vodní prostředí, akutně, kategorie 1</w:t>
      </w:r>
    </w:p>
    <w:p w:rsidR="003A3286" w:rsidRPr="00CA138E" w:rsidRDefault="003A3286" w:rsidP="003A32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A138E">
        <w:rPr>
          <w:rFonts w:ascii="Times New Roman" w:hAnsi="Times New Roman" w:cs="Times New Roman"/>
          <w:sz w:val="20"/>
          <w:szCs w:val="20"/>
        </w:rPr>
        <w:t>Aquatic</w:t>
      </w:r>
      <w:proofErr w:type="spellEnd"/>
      <w:r w:rsidRPr="00CA13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A138E">
        <w:rPr>
          <w:rFonts w:ascii="Times New Roman" w:hAnsi="Times New Roman" w:cs="Times New Roman"/>
          <w:sz w:val="20"/>
          <w:szCs w:val="20"/>
        </w:rPr>
        <w:t>Chronic</w:t>
      </w:r>
      <w:proofErr w:type="spellEnd"/>
      <w:r w:rsidRPr="00CA138E">
        <w:rPr>
          <w:rFonts w:ascii="Times New Roman" w:hAnsi="Times New Roman" w:cs="Times New Roman"/>
          <w:sz w:val="20"/>
          <w:szCs w:val="20"/>
        </w:rPr>
        <w:t xml:space="preserve"> 3</w:t>
      </w:r>
      <w:r w:rsidRPr="00CA138E">
        <w:rPr>
          <w:rFonts w:ascii="Times New Roman" w:hAnsi="Times New Roman" w:cs="Times New Roman"/>
          <w:sz w:val="20"/>
          <w:szCs w:val="20"/>
        </w:rPr>
        <w:tab/>
        <w:t>Nebezpečný pro vodní prostředí, chronicky, kategorie 3</w:t>
      </w:r>
    </w:p>
    <w:p w:rsidR="00BD7A40" w:rsidRPr="00CA138E" w:rsidRDefault="00BD7A40" w:rsidP="00A26AC6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A138E">
        <w:rPr>
          <w:rFonts w:ascii="Times New Roman" w:hAnsi="Times New Roman" w:cs="Times New Roman"/>
          <w:sz w:val="20"/>
          <w:szCs w:val="20"/>
          <w:u w:val="single"/>
        </w:rPr>
        <w:t xml:space="preserve">Důležité odkazy na literaturu a zdroje dat </w:t>
      </w:r>
    </w:p>
    <w:p w:rsidR="00F7323B" w:rsidRPr="00CA138E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 xml:space="preserve">Informace zde uvedené vycházejí z našich nejlepších znalostí a </w:t>
      </w:r>
      <w:r w:rsidR="00F7323B" w:rsidRPr="00CA138E">
        <w:rPr>
          <w:rFonts w:ascii="Times New Roman" w:hAnsi="Times New Roman" w:cs="Times New Roman"/>
          <w:sz w:val="20"/>
          <w:szCs w:val="20"/>
        </w:rPr>
        <w:t xml:space="preserve">aktuálních právních předpisů. </w:t>
      </w:r>
      <w:r w:rsidRPr="00CA138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D7A40" w:rsidRPr="00CA138E" w:rsidRDefault="00BD7A40" w:rsidP="00BD7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 xml:space="preserve">Bezpečnostní list byl zpracován </w:t>
      </w:r>
      <w:r w:rsidR="00607662" w:rsidRPr="00CA138E">
        <w:rPr>
          <w:rFonts w:ascii="Times New Roman" w:hAnsi="Times New Roman" w:cs="Times New Roman"/>
          <w:sz w:val="20"/>
          <w:szCs w:val="20"/>
        </w:rPr>
        <w:t xml:space="preserve">podle </w:t>
      </w:r>
      <w:r w:rsidRPr="00CA138E">
        <w:rPr>
          <w:rFonts w:ascii="Times New Roman" w:hAnsi="Times New Roman" w:cs="Times New Roman"/>
          <w:sz w:val="20"/>
          <w:szCs w:val="20"/>
        </w:rPr>
        <w:t>originálu bezpečnostn</w:t>
      </w:r>
      <w:r w:rsidR="00E93B73" w:rsidRPr="00CA138E">
        <w:rPr>
          <w:rFonts w:ascii="Times New Roman" w:hAnsi="Times New Roman" w:cs="Times New Roman"/>
          <w:sz w:val="20"/>
          <w:szCs w:val="20"/>
        </w:rPr>
        <w:t>ího listu poskytnutého výrobcem</w:t>
      </w:r>
      <w:r w:rsidR="00271F62" w:rsidRPr="00CA138E">
        <w:rPr>
          <w:rFonts w:ascii="Times New Roman" w:hAnsi="Times New Roman" w:cs="Times New Roman"/>
          <w:sz w:val="20"/>
          <w:szCs w:val="20"/>
        </w:rPr>
        <w:t>.</w:t>
      </w:r>
    </w:p>
    <w:p w:rsidR="00BD7A40" w:rsidRPr="00CA138E" w:rsidRDefault="00BD7A40" w:rsidP="00A26AC6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A138E">
        <w:rPr>
          <w:rFonts w:ascii="Times New Roman" w:hAnsi="Times New Roman" w:cs="Times New Roman"/>
          <w:sz w:val="20"/>
          <w:szCs w:val="20"/>
          <w:u w:val="single"/>
        </w:rPr>
        <w:t xml:space="preserve">Metody </w:t>
      </w:r>
      <w:r w:rsidR="00AA766C" w:rsidRPr="00CA138E">
        <w:rPr>
          <w:rFonts w:ascii="Times New Roman" w:hAnsi="Times New Roman" w:cs="Times New Roman"/>
          <w:sz w:val="20"/>
          <w:szCs w:val="20"/>
          <w:u w:val="single"/>
        </w:rPr>
        <w:t xml:space="preserve">hodnocení </w:t>
      </w:r>
      <w:r w:rsidRPr="00CA138E">
        <w:rPr>
          <w:rFonts w:ascii="Times New Roman" w:hAnsi="Times New Roman" w:cs="Times New Roman"/>
          <w:sz w:val="20"/>
          <w:szCs w:val="20"/>
          <w:u w:val="single"/>
        </w:rPr>
        <w:t>použité při klasifikaci směsi</w:t>
      </w:r>
    </w:p>
    <w:p w:rsidR="00392471" w:rsidRPr="00CA138E" w:rsidRDefault="00392471" w:rsidP="003A32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• Na základě údajů ze zkoušek (pH)</w:t>
      </w:r>
    </w:p>
    <w:p w:rsidR="003A3286" w:rsidRPr="00CA138E" w:rsidRDefault="003A3286" w:rsidP="003A32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Klasifikace směsi byla posouzena výrobcem a použita dodavatelem na základě článku 4, odstavce 5 nařízení (ES) č. 1907/2006 (použití klasifikace odvozené účastníkem dodavatelského řetězce).</w:t>
      </w:r>
    </w:p>
    <w:p w:rsidR="00BD7A40" w:rsidRPr="00CA138E" w:rsidRDefault="00BD7A40" w:rsidP="00F7323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A138E">
        <w:rPr>
          <w:rFonts w:ascii="Times New Roman" w:hAnsi="Times New Roman" w:cs="Times New Roman"/>
          <w:sz w:val="20"/>
          <w:szCs w:val="20"/>
          <w:u w:val="single"/>
        </w:rPr>
        <w:t>Seznam standardních vět o nebezpečnosti a pokynů pro bezpečné zacházení použitých v bezpečnostním listu</w:t>
      </w:r>
    </w:p>
    <w:p w:rsidR="00F20434" w:rsidRPr="00CA138E" w:rsidRDefault="00F20434" w:rsidP="00392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 xml:space="preserve">H271 </w:t>
      </w:r>
      <w:r w:rsidR="00392471" w:rsidRPr="00CA138E">
        <w:rPr>
          <w:rFonts w:ascii="Times New Roman" w:hAnsi="Times New Roman" w:cs="Times New Roman"/>
          <w:sz w:val="20"/>
          <w:szCs w:val="20"/>
        </w:rPr>
        <w:t>Může způsobit požár nebo výbuch; silný oxidant.</w:t>
      </w:r>
    </w:p>
    <w:p w:rsidR="00F20434" w:rsidRPr="00CA138E" w:rsidRDefault="00F20434" w:rsidP="00392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 xml:space="preserve">H301 </w:t>
      </w:r>
      <w:r w:rsidR="00392471" w:rsidRPr="00CA138E">
        <w:rPr>
          <w:rFonts w:ascii="Times New Roman" w:hAnsi="Times New Roman" w:cs="Times New Roman"/>
          <w:sz w:val="20"/>
          <w:szCs w:val="20"/>
        </w:rPr>
        <w:t>Toxický při požití.</w:t>
      </w:r>
    </w:p>
    <w:p w:rsidR="00F20434" w:rsidRPr="00CA138E" w:rsidRDefault="00F20434" w:rsidP="00392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 xml:space="preserve">H310 </w:t>
      </w:r>
      <w:r w:rsidR="00392471" w:rsidRPr="00CA138E">
        <w:rPr>
          <w:rFonts w:ascii="Times New Roman" w:hAnsi="Times New Roman" w:cs="Times New Roman"/>
          <w:sz w:val="20"/>
          <w:szCs w:val="20"/>
        </w:rPr>
        <w:t>Při styku s kůží může způsobit smrt.</w:t>
      </w:r>
    </w:p>
    <w:p w:rsidR="00F20434" w:rsidRPr="00CA138E" w:rsidRDefault="00F20434" w:rsidP="00392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 xml:space="preserve">H314 </w:t>
      </w:r>
      <w:r w:rsidR="00392471" w:rsidRPr="00CA138E">
        <w:rPr>
          <w:rFonts w:ascii="Times New Roman" w:hAnsi="Times New Roman" w:cs="Times New Roman"/>
          <w:sz w:val="20"/>
          <w:szCs w:val="20"/>
        </w:rPr>
        <w:t>Způsobuje těžké poleptání kůže a poškození očí.</w:t>
      </w:r>
    </w:p>
    <w:p w:rsidR="00F20434" w:rsidRPr="00CA138E" w:rsidRDefault="00F20434" w:rsidP="00392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H318</w:t>
      </w:r>
      <w:r w:rsidR="00392471" w:rsidRPr="00CA138E">
        <w:rPr>
          <w:rFonts w:ascii="Times New Roman" w:hAnsi="Times New Roman" w:cs="Times New Roman"/>
          <w:sz w:val="20"/>
          <w:szCs w:val="20"/>
        </w:rPr>
        <w:t xml:space="preserve"> Způsobuje vážné poškození očí.</w:t>
      </w:r>
    </w:p>
    <w:p w:rsidR="00F20434" w:rsidRPr="00CA138E" w:rsidRDefault="00F20434" w:rsidP="00392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 xml:space="preserve">H373 </w:t>
      </w:r>
      <w:r w:rsidR="00392471" w:rsidRPr="00CA138E">
        <w:rPr>
          <w:rFonts w:ascii="Times New Roman" w:hAnsi="Times New Roman" w:cs="Times New Roman"/>
          <w:sz w:val="20"/>
          <w:szCs w:val="20"/>
        </w:rPr>
        <w:t>Může způsobit poškození orgánů při prodloužené nebo opakované expozici.</w:t>
      </w:r>
    </w:p>
    <w:p w:rsidR="00F20434" w:rsidRPr="00CA138E" w:rsidRDefault="00F20434" w:rsidP="00392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 xml:space="preserve">H400 </w:t>
      </w:r>
      <w:r w:rsidR="00392471" w:rsidRPr="00CA138E">
        <w:rPr>
          <w:rFonts w:ascii="Times New Roman" w:hAnsi="Times New Roman" w:cs="Times New Roman"/>
          <w:sz w:val="20"/>
          <w:szCs w:val="20"/>
        </w:rPr>
        <w:t>Vysoce toxický pro vodní organismy.</w:t>
      </w:r>
    </w:p>
    <w:p w:rsidR="00F20434" w:rsidRPr="00CA138E" w:rsidRDefault="00F20434" w:rsidP="00392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H412</w:t>
      </w:r>
      <w:r w:rsidR="00392471" w:rsidRPr="00CA138E">
        <w:rPr>
          <w:rFonts w:ascii="Times New Roman" w:hAnsi="Times New Roman" w:cs="Times New Roman"/>
          <w:sz w:val="20"/>
          <w:szCs w:val="20"/>
        </w:rPr>
        <w:t xml:space="preserve"> Škodlivý pro vodní organismy, s dlouhodobými účinky.</w:t>
      </w:r>
    </w:p>
    <w:p w:rsidR="00F20434" w:rsidRPr="00CA138E" w:rsidRDefault="00F20434" w:rsidP="00392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EUH032</w:t>
      </w:r>
      <w:r w:rsidR="00392471" w:rsidRPr="00CA138E">
        <w:rPr>
          <w:rFonts w:ascii="Times New Roman" w:hAnsi="Times New Roman" w:cs="Times New Roman"/>
          <w:sz w:val="20"/>
          <w:szCs w:val="20"/>
        </w:rPr>
        <w:t xml:space="preserve"> Uvolňuje vysoce toxický plyn při styku s kyselinami.</w:t>
      </w:r>
    </w:p>
    <w:p w:rsidR="00F20434" w:rsidRPr="00CA138E" w:rsidRDefault="00F20434" w:rsidP="003924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lastRenderedPageBreak/>
        <w:t>EUH071</w:t>
      </w:r>
      <w:r w:rsidR="00392471" w:rsidRPr="00CA138E">
        <w:rPr>
          <w:rFonts w:ascii="Times New Roman" w:hAnsi="Times New Roman" w:cs="Times New Roman"/>
          <w:sz w:val="20"/>
          <w:szCs w:val="20"/>
        </w:rPr>
        <w:t xml:space="preserve"> Způsobuje poleptání dýchacích cest.</w:t>
      </w:r>
    </w:p>
    <w:p w:rsidR="009A77BA" w:rsidRPr="00CA138E" w:rsidRDefault="009A77BA" w:rsidP="009A77BA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A138E">
        <w:rPr>
          <w:rFonts w:ascii="Times New Roman" w:hAnsi="Times New Roman" w:cs="Times New Roman"/>
          <w:bCs/>
          <w:sz w:val="20"/>
          <w:szCs w:val="20"/>
        </w:rPr>
        <w:t>P102</w:t>
      </w:r>
      <w:r w:rsidRPr="00CA138E">
        <w:rPr>
          <w:rFonts w:ascii="Times New Roman" w:hAnsi="Times New Roman" w:cs="Times New Roman"/>
          <w:sz w:val="20"/>
          <w:szCs w:val="20"/>
        </w:rPr>
        <w:t xml:space="preserve"> Uchovávejte mimo dosah dětí.</w:t>
      </w:r>
    </w:p>
    <w:p w:rsidR="009A77BA" w:rsidRPr="00CA138E" w:rsidRDefault="009A77BA" w:rsidP="009A77BA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A138E">
        <w:rPr>
          <w:rFonts w:ascii="Times New Roman" w:hAnsi="Times New Roman" w:cs="Times New Roman"/>
          <w:bCs/>
          <w:sz w:val="20"/>
          <w:szCs w:val="20"/>
        </w:rPr>
        <w:t>P235</w:t>
      </w:r>
      <w:r w:rsidRPr="00CA138E">
        <w:rPr>
          <w:rFonts w:ascii="Times New Roman" w:hAnsi="Times New Roman" w:cs="Times New Roman"/>
          <w:sz w:val="20"/>
          <w:szCs w:val="20"/>
        </w:rPr>
        <w:t xml:space="preserve"> Uchovávejte v chladu.</w:t>
      </w:r>
    </w:p>
    <w:p w:rsidR="009A77BA" w:rsidRPr="00CA138E" w:rsidRDefault="009A77BA" w:rsidP="009A77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bCs/>
          <w:sz w:val="20"/>
          <w:szCs w:val="20"/>
        </w:rPr>
        <w:t>P260</w:t>
      </w:r>
      <w:r w:rsidRPr="00CA138E">
        <w:rPr>
          <w:rFonts w:ascii="Times New Roman" w:hAnsi="Times New Roman" w:cs="Times New Roman"/>
          <w:sz w:val="20"/>
          <w:szCs w:val="20"/>
        </w:rPr>
        <w:t xml:space="preserve"> Nevdechujte páry.</w:t>
      </w:r>
    </w:p>
    <w:p w:rsidR="009A77BA" w:rsidRPr="00CA138E" w:rsidRDefault="009A77BA" w:rsidP="009A77BA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A138E">
        <w:rPr>
          <w:rFonts w:ascii="Times New Roman" w:hAnsi="Times New Roman" w:cs="Times New Roman"/>
          <w:bCs/>
          <w:sz w:val="20"/>
          <w:szCs w:val="20"/>
        </w:rPr>
        <w:t>P280</w:t>
      </w:r>
      <w:r w:rsidRPr="00CA138E">
        <w:rPr>
          <w:rFonts w:ascii="Times New Roman" w:hAnsi="Times New Roman" w:cs="Times New Roman"/>
          <w:sz w:val="20"/>
          <w:szCs w:val="20"/>
        </w:rPr>
        <w:t xml:space="preserve"> Používejte ochranné rukavice/ochranné brýle/obličejový štít.</w:t>
      </w:r>
    </w:p>
    <w:p w:rsidR="009A77BA" w:rsidRPr="00CA138E" w:rsidRDefault="009A77BA" w:rsidP="009A77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P305 + P351 + P338 PŘI ZASAŽENÍ OČÍ: Několik minut opatrně vyplachujte vodou. Vyjměte kontaktní čočky, jsou-li nasazeny a pokud je lze vyjmout snadno. Pokračujte ve vyplachování.</w:t>
      </w:r>
    </w:p>
    <w:p w:rsidR="009A77BA" w:rsidRPr="00CA138E" w:rsidRDefault="009A77BA" w:rsidP="009A77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P314 Necítíte-li se dobře, vyhledejte lékařskou pomoc/ošetření.</w:t>
      </w:r>
    </w:p>
    <w:p w:rsidR="009A77BA" w:rsidRPr="00CA138E" w:rsidRDefault="009A77BA" w:rsidP="009A77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P410 Chraňte před slunečním zářením.</w:t>
      </w:r>
    </w:p>
    <w:p w:rsidR="00BD7A40" w:rsidRPr="00CA138E" w:rsidRDefault="00BD7A40" w:rsidP="00F7323B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A138E">
        <w:rPr>
          <w:rFonts w:ascii="Times New Roman" w:hAnsi="Times New Roman" w:cs="Times New Roman"/>
          <w:sz w:val="20"/>
          <w:szCs w:val="20"/>
          <w:u w:val="single"/>
        </w:rPr>
        <w:t>Pokyny pro školení</w:t>
      </w:r>
    </w:p>
    <w:p w:rsidR="003E18BD" w:rsidRPr="00CA138E" w:rsidRDefault="003E18BD" w:rsidP="003E18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Bezpečnost práce na pracovišti určuje Zákoník práce zákon č. 262/2006 Sb., ve znění pozdějších předpisů. Pracovníci, kteří přicházejí do styku s nebezpečnými látkami, musí být v potřebném rozsahu seznámeni s účinky těchto látek, se způsoby, jak s nimi zacházet, s ochrannými opatřeními, se zásadami první pomoci, s potřebnými postupy pro likvidaci havárií</w:t>
      </w:r>
      <w:r w:rsidR="00E93B73" w:rsidRPr="00CA138E">
        <w:rPr>
          <w:rFonts w:ascii="Times New Roman" w:hAnsi="Times New Roman" w:cs="Times New Roman"/>
          <w:sz w:val="20"/>
          <w:szCs w:val="20"/>
        </w:rPr>
        <w:t>, s přepravou</w:t>
      </w:r>
      <w:r w:rsidRPr="00CA138E">
        <w:rPr>
          <w:rFonts w:ascii="Times New Roman" w:hAnsi="Times New Roman" w:cs="Times New Roman"/>
          <w:sz w:val="20"/>
          <w:szCs w:val="20"/>
        </w:rPr>
        <w:t>.</w:t>
      </w:r>
    </w:p>
    <w:p w:rsidR="008C0C5E" w:rsidRPr="00CA138E" w:rsidRDefault="00B43A44" w:rsidP="002B6F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138E">
        <w:rPr>
          <w:rFonts w:ascii="Times New Roman" w:hAnsi="Times New Roman" w:cs="Times New Roman"/>
          <w:sz w:val="20"/>
          <w:szCs w:val="20"/>
        </w:rPr>
        <w:t>Každý zaměstnavatel musí po</w:t>
      </w:r>
      <w:r w:rsidR="004A0D60" w:rsidRPr="00CA138E">
        <w:rPr>
          <w:rFonts w:ascii="Times New Roman" w:hAnsi="Times New Roman" w:cs="Times New Roman"/>
          <w:sz w:val="20"/>
          <w:szCs w:val="20"/>
        </w:rPr>
        <w:t>dle článku</w:t>
      </w:r>
      <w:r w:rsidRPr="00CA138E">
        <w:rPr>
          <w:rFonts w:ascii="Times New Roman" w:hAnsi="Times New Roman" w:cs="Times New Roman"/>
          <w:sz w:val="20"/>
          <w:szCs w:val="20"/>
        </w:rPr>
        <w:t xml:space="preserve"> 35 nařízení </w:t>
      </w:r>
      <w:r w:rsidR="004A0D60" w:rsidRPr="00CA138E">
        <w:rPr>
          <w:rFonts w:ascii="Times New Roman" w:hAnsi="Times New Roman" w:cs="Times New Roman"/>
          <w:sz w:val="20"/>
          <w:szCs w:val="20"/>
        </w:rPr>
        <w:t xml:space="preserve">Evropského parlamentu a Rady </w:t>
      </w:r>
      <w:r w:rsidRPr="00CA138E">
        <w:rPr>
          <w:rFonts w:ascii="Times New Roman" w:hAnsi="Times New Roman" w:cs="Times New Roman"/>
          <w:sz w:val="20"/>
          <w:szCs w:val="20"/>
        </w:rPr>
        <w:t xml:space="preserve">(ES) č. 1907/2006 umožnit přístup k informacím z bezpečnostního listu všem zaměstnancům, kteří tento produkt používají nebo jsou během své činnosti vystaveni jeho účinkům, a rovněž zástupcům těchto pracovníků. </w:t>
      </w:r>
    </w:p>
    <w:p w:rsidR="00BD7A40" w:rsidRPr="00CA138E" w:rsidRDefault="00BD7A40" w:rsidP="00F7323B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A138E">
        <w:rPr>
          <w:rFonts w:ascii="Times New Roman" w:hAnsi="Times New Roman" w:cs="Times New Roman"/>
          <w:sz w:val="20"/>
          <w:szCs w:val="20"/>
          <w:u w:val="single"/>
        </w:rPr>
        <w:t>Další informace</w:t>
      </w:r>
    </w:p>
    <w:p w:rsidR="008545CC" w:rsidRPr="00CA138E" w:rsidRDefault="00BD7A40" w:rsidP="00BD7A4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A138E">
        <w:rPr>
          <w:rFonts w:ascii="Times New Roman" w:hAnsi="Times New Roman" w:cs="Times New Roman"/>
          <w:bCs/>
          <w:sz w:val="20"/>
          <w:szCs w:val="20"/>
        </w:rPr>
        <w:t>Další informace poskytne: viz oddíl 1.3.</w:t>
      </w:r>
    </w:p>
    <w:p w:rsidR="009316F2" w:rsidRPr="00CA138E" w:rsidRDefault="009316F2" w:rsidP="003A328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A138E">
        <w:rPr>
          <w:rFonts w:ascii="Times New Roman" w:hAnsi="Times New Roman" w:cs="Times New Roman"/>
          <w:bCs/>
          <w:sz w:val="20"/>
          <w:szCs w:val="20"/>
        </w:rPr>
        <w:t xml:space="preserve">Bezpečnostní list obsahuje údaje pro zajištění bezpečnosti a ochrany zdraví při práci a ochraně životního prostředí. Uvedené údaje odpovídají současnému stavu vědomostí a zkušeností a jsou v souladu s aktuálně platnými právními předpisy. Nemohou být považovány za záruku vhodnosti a použitelnosti produktu pro konkrétní aplikaci. </w:t>
      </w:r>
    </w:p>
    <w:sectPr w:rsidR="009316F2" w:rsidRPr="00CA138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25DDB" w:rsidRDefault="00525DDB" w:rsidP="00D0201A">
      <w:pPr>
        <w:spacing w:after="0" w:line="240" w:lineRule="auto"/>
      </w:pPr>
      <w:r>
        <w:separator/>
      </w:r>
    </w:p>
  </w:endnote>
  <w:endnote w:type="continuationSeparator" w:id="0">
    <w:p w:rsidR="00525DDB" w:rsidRDefault="00525DDB" w:rsidP="00D0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20B0604020202020204"/>
    <w:charset w:val="EE"/>
    <w:family w:val="auto"/>
    <w:notTrueType/>
    <w:pitch w:val="default"/>
    <w:sig w:usb0="00000001" w:usb1="00000000" w:usb2="00000000" w:usb3="00000000" w:csb0="00000003" w:csb1="00000000"/>
  </w:font>
  <w:font w:name="HelveticaNeue-Regular">
    <w:altName w:val="MS Mincho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CIDFont+F2">
    <w:altName w:val="MS Gothic"/>
    <w:panose1 w:val="020B0604020202020204"/>
    <w:charset w:val="80"/>
    <w:family w:val="auto"/>
    <w:notTrueType/>
    <w:pitch w:val="default"/>
    <w:sig w:usb0="00000005" w:usb1="08070000" w:usb2="00000010" w:usb3="00000000" w:csb0="00020002" w:csb1="00000000"/>
  </w:font>
  <w:font w:name="StempelGaramondLTPro-Bold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40BCF" w:rsidRDefault="00140BCF">
    <w:pPr>
      <w:pStyle w:val="Zpat"/>
    </w:pPr>
    <w:r w:rsidRPr="00D0201A">
      <w:rPr>
        <w:rFonts w:ascii="Times New Roman" w:hAnsi="Times New Roman" w:cs="Times New Roman"/>
        <w:sz w:val="20"/>
        <w:szCs w:val="20"/>
      </w:rPr>
      <w:t xml:space="preserve">Strana: </w: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begin"/>
    </w:r>
    <w:r w:rsidRPr="00D0201A">
      <w:rPr>
        <w:rStyle w:val="slostrnky"/>
        <w:rFonts w:ascii="Times New Roman" w:hAnsi="Times New Roman" w:cs="Times New Roman"/>
        <w:sz w:val="20"/>
        <w:szCs w:val="20"/>
      </w:rPr>
      <w:instrText xml:space="preserve"> PAGE </w:instrTex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separate"/>
    </w:r>
    <w:r w:rsidR="00F11327">
      <w:rPr>
        <w:rStyle w:val="slostrnky"/>
        <w:rFonts w:ascii="Times New Roman" w:hAnsi="Times New Roman" w:cs="Times New Roman"/>
        <w:noProof/>
        <w:sz w:val="20"/>
        <w:szCs w:val="20"/>
      </w:rPr>
      <w:t>8</w: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end"/>
    </w:r>
    <w:r w:rsidRPr="00D0201A">
      <w:rPr>
        <w:rStyle w:val="slostrnky"/>
        <w:rFonts w:ascii="Times New Roman" w:hAnsi="Times New Roman" w:cs="Times New Roman"/>
        <w:sz w:val="20"/>
        <w:szCs w:val="20"/>
      </w:rPr>
      <w:t xml:space="preserve"> / </w: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begin"/>
    </w:r>
    <w:r w:rsidRPr="00D0201A">
      <w:rPr>
        <w:rStyle w:val="slostrnky"/>
        <w:rFonts w:ascii="Times New Roman" w:hAnsi="Times New Roman" w:cs="Times New Roman"/>
        <w:sz w:val="20"/>
        <w:szCs w:val="20"/>
      </w:rPr>
      <w:instrText xml:space="preserve"> NUMPAGES </w:instrTex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separate"/>
    </w:r>
    <w:r w:rsidR="00F11327">
      <w:rPr>
        <w:rStyle w:val="slostrnky"/>
        <w:rFonts w:ascii="Times New Roman" w:hAnsi="Times New Roman" w:cs="Times New Roman"/>
        <w:noProof/>
        <w:sz w:val="20"/>
        <w:szCs w:val="20"/>
      </w:rPr>
      <w:t>10</w:t>
    </w:r>
    <w:r w:rsidRPr="00D0201A">
      <w:rPr>
        <w:rStyle w:val="slostrnky"/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25DDB" w:rsidRDefault="00525DDB" w:rsidP="00D0201A">
      <w:pPr>
        <w:spacing w:after="0" w:line="240" w:lineRule="auto"/>
      </w:pPr>
      <w:r>
        <w:separator/>
      </w:r>
    </w:p>
  </w:footnote>
  <w:footnote w:type="continuationSeparator" w:id="0">
    <w:p w:rsidR="00525DDB" w:rsidRDefault="00525DDB" w:rsidP="00D02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Ind w:w="108" w:type="dxa"/>
      <w:tblLook w:val="04A0" w:firstRow="1" w:lastRow="0" w:firstColumn="1" w:lastColumn="0" w:noHBand="0" w:noVBand="1"/>
    </w:tblPr>
    <w:tblGrid>
      <w:gridCol w:w="8954"/>
    </w:tblGrid>
    <w:tr w:rsidR="00140BCF" w:rsidTr="00607662">
      <w:tc>
        <w:tcPr>
          <w:tcW w:w="9104" w:type="dxa"/>
        </w:tcPr>
        <w:p w:rsidR="00140BCF" w:rsidRPr="00D0201A" w:rsidRDefault="00140BCF" w:rsidP="00D0201A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0201A">
            <w:rPr>
              <w:rFonts w:ascii="Times New Roman" w:hAnsi="Times New Roman" w:cs="Times New Roman"/>
              <w:b/>
              <w:bCs/>
              <w:sz w:val="24"/>
              <w:szCs w:val="24"/>
            </w:rPr>
            <w:t>BEZPEČNOSTNÍ LIST</w:t>
          </w:r>
        </w:p>
        <w:p w:rsidR="00140BCF" w:rsidRPr="00D0201A" w:rsidRDefault="00140BCF" w:rsidP="00882A24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D0201A">
            <w:rPr>
              <w:rFonts w:ascii="Times New Roman" w:hAnsi="Times New Roman" w:cs="Times New Roman"/>
              <w:sz w:val="20"/>
              <w:szCs w:val="20"/>
            </w:rPr>
            <w:t xml:space="preserve">(podle nařízení Evropského parlamentu a Rady (ES) č. 1907/2006, ve znění nařízení Komise (EU) </w:t>
          </w:r>
          <w:r>
            <w:rPr>
              <w:rFonts w:ascii="Times New Roman" w:hAnsi="Times New Roman" w:cs="Times New Roman"/>
              <w:sz w:val="20"/>
              <w:szCs w:val="20"/>
            </w:rPr>
            <w:t>2020</w:t>
          </w:r>
          <w:r w:rsidRPr="00D0201A"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t>878</w:t>
          </w:r>
          <w:r w:rsidRPr="00D0201A">
            <w:rPr>
              <w:rFonts w:ascii="Times New Roman" w:hAnsi="Times New Roman" w:cs="Times New Roman"/>
              <w:sz w:val="20"/>
              <w:szCs w:val="20"/>
            </w:rPr>
            <w:t>)</w:t>
          </w:r>
        </w:p>
      </w:tc>
    </w:tr>
    <w:tr w:rsidR="00140BCF" w:rsidTr="00607662">
      <w:tc>
        <w:tcPr>
          <w:tcW w:w="9104" w:type="dxa"/>
        </w:tcPr>
        <w:p w:rsidR="00140BCF" w:rsidRPr="00D0201A" w:rsidRDefault="00140BCF" w:rsidP="00D0201A">
          <w:pPr>
            <w:rPr>
              <w:rStyle w:val="slostrnky"/>
              <w:rFonts w:ascii="Times New Roman" w:hAnsi="Times New Roman" w:cs="Times New Roman"/>
              <w:sz w:val="20"/>
              <w:szCs w:val="20"/>
            </w:rPr>
          </w:pPr>
          <w:r w:rsidRPr="00D0201A">
            <w:rPr>
              <w:rFonts w:ascii="Times New Roman" w:hAnsi="Times New Roman" w:cs="Times New Roman"/>
              <w:sz w:val="20"/>
              <w:szCs w:val="20"/>
            </w:rPr>
            <w:t xml:space="preserve">Datum vydání/verze č.: </w:t>
          </w:r>
          <w:r>
            <w:rPr>
              <w:rFonts w:ascii="Times New Roman" w:hAnsi="Times New Roman" w:cs="Times New Roman"/>
              <w:sz w:val="20"/>
              <w:szCs w:val="20"/>
            </w:rPr>
            <w:t>16. 4. 2023 / 1.0</w:t>
          </w:r>
          <w:r w:rsidRPr="00D0201A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                                                                                                   </w:t>
          </w:r>
        </w:p>
        <w:p w:rsidR="00140BCF" w:rsidRPr="00D0201A" w:rsidRDefault="00140BCF" w:rsidP="00E273BE">
          <w:pPr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D0201A">
            <w:rPr>
              <w:rFonts w:ascii="Times New Roman" w:hAnsi="Times New Roman" w:cs="Times New Roman"/>
              <w:sz w:val="20"/>
              <w:szCs w:val="20"/>
            </w:rPr>
            <w:t>Název výrobku:</w:t>
          </w:r>
          <w:r w:rsidRPr="00586E7E"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t xml:space="preserve"> </w:t>
          </w:r>
          <w: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t xml:space="preserve">                          </w:t>
          </w:r>
          <w:r w:rsidR="00E273BE"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t xml:space="preserve">  </w:t>
          </w:r>
          <w:r w:rsidRPr="005004C2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BIOXY </w:t>
          </w:r>
          <w:r w:rsidRPr="00140BCF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SHIELD</w:t>
          </w:r>
          <w:r w:rsidRPr="005004C2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ACTIVATOR</w:t>
          </w:r>
        </w:p>
      </w:tc>
    </w:tr>
  </w:tbl>
  <w:p w:rsidR="00140BCF" w:rsidRPr="00D0201A" w:rsidRDefault="00140BCF" w:rsidP="00D0201A">
    <w:pPr>
      <w:pStyle w:val="Zhlav"/>
      <w:rPr>
        <w:rFonts w:ascii="Times New Roman" w:hAnsi="Times New Roman" w:cs="Times New Roman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74618"/>
    <w:multiLevelType w:val="multilevel"/>
    <w:tmpl w:val="34005044"/>
    <w:lvl w:ilvl="0">
      <w:start w:val="1"/>
      <w:numFmt w:val="decimal"/>
      <w:pStyle w:val="Nadpis1"/>
      <w:lvlText w:val="ODDÍL %1: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1A"/>
    <w:rsid w:val="00015430"/>
    <w:rsid w:val="00017829"/>
    <w:rsid w:val="00017BCB"/>
    <w:rsid w:val="000248FA"/>
    <w:rsid w:val="000324E2"/>
    <w:rsid w:val="0003754A"/>
    <w:rsid w:val="000416AF"/>
    <w:rsid w:val="000724EB"/>
    <w:rsid w:val="00074446"/>
    <w:rsid w:val="000866D0"/>
    <w:rsid w:val="00093B94"/>
    <w:rsid w:val="00093ED6"/>
    <w:rsid w:val="000C13E0"/>
    <w:rsid w:val="000D4D38"/>
    <w:rsid w:val="000F0FD8"/>
    <w:rsid w:val="000F6920"/>
    <w:rsid w:val="00140BCF"/>
    <w:rsid w:val="00176F47"/>
    <w:rsid w:val="001A1355"/>
    <w:rsid w:val="001A6A94"/>
    <w:rsid w:val="001B0CA7"/>
    <w:rsid w:val="001C0C12"/>
    <w:rsid w:val="001D53AD"/>
    <w:rsid w:val="001F0B33"/>
    <w:rsid w:val="00202EDB"/>
    <w:rsid w:val="00213AB6"/>
    <w:rsid w:val="00226BA8"/>
    <w:rsid w:val="00241667"/>
    <w:rsid w:val="00245E3E"/>
    <w:rsid w:val="002500DB"/>
    <w:rsid w:val="00251E30"/>
    <w:rsid w:val="00260816"/>
    <w:rsid w:val="00266494"/>
    <w:rsid w:val="0027111B"/>
    <w:rsid w:val="00271F62"/>
    <w:rsid w:val="00274810"/>
    <w:rsid w:val="00287E49"/>
    <w:rsid w:val="002A23B3"/>
    <w:rsid w:val="002A4AAB"/>
    <w:rsid w:val="002A6190"/>
    <w:rsid w:val="002B0F38"/>
    <w:rsid w:val="002B6F72"/>
    <w:rsid w:val="002C249A"/>
    <w:rsid w:val="002C2F18"/>
    <w:rsid w:val="002C3AD4"/>
    <w:rsid w:val="002C7F72"/>
    <w:rsid w:val="002E0037"/>
    <w:rsid w:val="002F7129"/>
    <w:rsid w:val="00303D67"/>
    <w:rsid w:val="0031244E"/>
    <w:rsid w:val="00317948"/>
    <w:rsid w:val="00332193"/>
    <w:rsid w:val="0034050A"/>
    <w:rsid w:val="00342D7E"/>
    <w:rsid w:val="003701CC"/>
    <w:rsid w:val="003715AE"/>
    <w:rsid w:val="00372724"/>
    <w:rsid w:val="00385AAA"/>
    <w:rsid w:val="00390F87"/>
    <w:rsid w:val="00392471"/>
    <w:rsid w:val="0039388A"/>
    <w:rsid w:val="003A3286"/>
    <w:rsid w:val="003B7748"/>
    <w:rsid w:val="003D2972"/>
    <w:rsid w:val="003E0621"/>
    <w:rsid w:val="003E18BD"/>
    <w:rsid w:val="003E30B8"/>
    <w:rsid w:val="003E77D6"/>
    <w:rsid w:val="003F48AD"/>
    <w:rsid w:val="003F4D88"/>
    <w:rsid w:val="003F7D45"/>
    <w:rsid w:val="0040090F"/>
    <w:rsid w:val="00405661"/>
    <w:rsid w:val="004569E4"/>
    <w:rsid w:val="00465A35"/>
    <w:rsid w:val="004700CC"/>
    <w:rsid w:val="00473757"/>
    <w:rsid w:val="004A0D60"/>
    <w:rsid w:val="004A4C90"/>
    <w:rsid w:val="004A5008"/>
    <w:rsid w:val="004A6BB9"/>
    <w:rsid w:val="004C5921"/>
    <w:rsid w:val="004C6338"/>
    <w:rsid w:val="004D1A36"/>
    <w:rsid w:val="004D6BAB"/>
    <w:rsid w:val="004F248D"/>
    <w:rsid w:val="004F466F"/>
    <w:rsid w:val="005004C2"/>
    <w:rsid w:val="005074DD"/>
    <w:rsid w:val="00520ABA"/>
    <w:rsid w:val="005233EB"/>
    <w:rsid w:val="00525DDB"/>
    <w:rsid w:val="00536ABE"/>
    <w:rsid w:val="00553F0C"/>
    <w:rsid w:val="00576DE5"/>
    <w:rsid w:val="00585D3E"/>
    <w:rsid w:val="00586E7E"/>
    <w:rsid w:val="005A212A"/>
    <w:rsid w:val="005A3B70"/>
    <w:rsid w:val="005D2C29"/>
    <w:rsid w:val="005D73F3"/>
    <w:rsid w:val="005E6406"/>
    <w:rsid w:val="005F139B"/>
    <w:rsid w:val="00600099"/>
    <w:rsid w:val="00606933"/>
    <w:rsid w:val="00607662"/>
    <w:rsid w:val="00610493"/>
    <w:rsid w:val="006135AE"/>
    <w:rsid w:val="00627231"/>
    <w:rsid w:val="006401EE"/>
    <w:rsid w:val="00651938"/>
    <w:rsid w:val="00662543"/>
    <w:rsid w:val="006857FF"/>
    <w:rsid w:val="006956B6"/>
    <w:rsid w:val="006A1752"/>
    <w:rsid w:val="006B504F"/>
    <w:rsid w:val="006B64A6"/>
    <w:rsid w:val="006B6C26"/>
    <w:rsid w:val="006C269E"/>
    <w:rsid w:val="006C2745"/>
    <w:rsid w:val="006D1DF0"/>
    <w:rsid w:val="006E7F64"/>
    <w:rsid w:val="006F2E1F"/>
    <w:rsid w:val="006F7BAD"/>
    <w:rsid w:val="00702A6B"/>
    <w:rsid w:val="00705725"/>
    <w:rsid w:val="00705B72"/>
    <w:rsid w:val="00713FD7"/>
    <w:rsid w:val="0072070F"/>
    <w:rsid w:val="00731D13"/>
    <w:rsid w:val="0075640F"/>
    <w:rsid w:val="007616FD"/>
    <w:rsid w:val="0076175B"/>
    <w:rsid w:val="00786441"/>
    <w:rsid w:val="007E64FD"/>
    <w:rsid w:val="007F2146"/>
    <w:rsid w:val="00814DC7"/>
    <w:rsid w:val="00820644"/>
    <w:rsid w:val="0082220B"/>
    <w:rsid w:val="00832A8A"/>
    <w:rsid w:val="00842994"/>
    <w:rsid w:val="00852615"/>
    <w:rsid w:val="008545CC"/>
    <w:rsid w:val="008639E1"/>
    <w:rsid w:val="00876255"/>
    <w:rsid w:val="00882A24"/>
    <w:rsid w:val="00894DE7"/>
    <w:rsid w:val="008A2E8B"/>
    <w:rsid w:val="008B62E5"/>
    <w:rsid w:val="008C0C5E"/>
    <w:rsid w:val="008D43BC"/>
    <w:rsid w:val="008E32B3"/>
    <w:rsid w:val="009316F2"/>
    <w:rsid w:val="00945E9D"/>
    <w:rsid w:val="009607A9"/>
    <w:rsid w:val="00973E78"/>
    <w:rsid w:val="00982C99"/>
    <w:rsid w:val="009A708D"/>
    <w:rsid w:val="009A77BA"/>
    <w:rsid w:val="009B61C8"/>
    <w:rsid w:val="009D1354"/>
    <w:rsid w:val="009E642F"/>
    <w:rsid w:val="00A0478E"/>
    <w:rsid w:val="00A26AC6"/>
    <w:rsid w:val="00A46856"/>
    <w:rsid w:val="00A52E96"/>
    <w:rsid w:val="00A560F1"/>
    <w:rsid w:val="00A753AD"/>
    <w:rsid w:val="00A82C68"/>
    <w:rsid w:val="00A87C84"/>
    <w:rsid w:val="00A95667"/>
    <w:rsid w:val="00AA766C"/>
    <w:rsid w:val="00AB6363"/>
    <w:rsid w:val="00AC402F"/>
    <w:rsid w:val="00AC5CBD"/>
    <w:rsid w:val="00AD13CA"/>
    <w:rsid w:val="00AD319D"/>
    <w:rsid w:val="00AD7D65"/>
    <w:rsid w:val="00AE029F"/>
    <w:rsid w:val="00AE08FF"/>
    <w:rsid w:val="00B31FBB"/>
    <w:rsid w:val="00B43A44"/>
    <w:rsid w:val="00BA0EFE"/>
    <w:rsid w:val="00BA490F"/>
    <w:rsid w:val="00BA5F50"/>
    <w:rsid w:val="00BB603C"/>
    <w:rsid w:val="00BD7A40"/>
    <w:rsid w:val="00C0368F"/>
    <w:rsid w:val="00C10E2D"/>
    <w:rsid w:val="00C204E2"/>
    <w:rsid w:val="00C344DD"/>
    <w:rsid w:val="00C4192D"/>
    <w:rsid w:val="00C47775"/>
    <w:rsid w:val="00C61B98"/>
    <w:rsid w:val="00C72F09"/>
    <w:rsid w:val="00C736CC"/>
    <w:rsid w:val="00C85038"/>
    <w:rsid w:val="00C97DB2"/>
    <w:rsid w:val="00CA12FF"/>
    <w:rsid w:val="00CA138E"/>
    <w:rsid w:val="00CA48CC"/>
    <w:rsid w:val="00CA4F57"/>
    <w:rsid w:val="00CB145A"/>
    <w:rsid w:val="00CB1859"/>
    <w:rsid w:val="00CB3631"/>
    <w:rsid w:val="00CC396C"/>
    <w:rsid w:val="00CC679B"/>
    <w:rsid w:val="00CE1157"/>
    <w:rsid w:val="00CE26CD"/>
    <w:rsid w:val="00CE631E"/>
    <w:rsid w:val="00CE7AAF"/>
    <w:rsid w:val="00CF10EA"/>
    <w:rsid w:val="00CF6403"/>
    <w:rsid w:val="00D0201A"/>
    <w:rsid w:val="00D12F0C"/>
    <w:rsid w:val="00D130DB"/>
    <w:rsid w:val="00D17C86"/>
    <w:rsid w:val="00D35A9A"/>
    <w:rsid w:val="00D43DCF"/>
    <w:rsid w:val="00D44041"/>
    <w:rsid w:val="00D47BB4"/>
    <w:rsid w:val="00D81A2D"/>
    <w:rsid w:val="00D94A82"/>
    <w:rsid w:val="00DA2744"/>
    <w:rsid w:val="00DB3C17"/>
    <w:rsid w:val="00DD065B"/>
    <w:rsid w:val="00DD0BFC"/>
    <w:rsid w:val="00DE11EC"/>
    <w:rsid w:val="00DE29AB"/>
    <w:rsid w:val="00E21ADE"/>
    <w:rsid w:val="00E2720A"/>
    <w:rsid w:val="00E273BE"/>
    <w:rsid w:val="00E5470C"/>
    <w:rsid w:val="00E600DB"/>
    <w:rsid w:val="00E60956"/>
    <w:rsid w:val="00E60A58"/>
    <w:rsid w:val="00E93B73"/>
    <w:rsid w:val="00EC182A"/>
    <w:rsid w:val="00EC5B17"/>
    <w:rsid w:val="00ED0A52"/>
    <w:rsid w:val="00ED16E8"/>
    <w:rsid w:val="00EE1E67"/>
    <w:rsid w:val="00F00C73"/>
    <w:rsid w:val="00F11327"/>
    <w:rsid w:val="00F1349F"/>
    <w:rsid w:val="00F14128"/>
    <w:rsid w:val="00F14683"/>
    <w:rsid w:val="00F20434"/>
    <w:rsid w:val="00F37283"/>
    <w:rsid w:val="00F54FBF"/>
    <w:rsid w:val="00F66F8D"/>
    <w:rsid w:val="00F67315"/>
    <w:rsid w:val="00F67994"/>
    <w:rsid w:val="00F7323B"/>
    <w:rsid w:val="00F808C5"/>
    <w:rsid w:val="00FB23FA"/>
    <w:rsid w:val="00FD3F3A"/>
    <w:rsid w:val="00FE196C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C86D20-0D01-D541-9E50-89B4BE98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Bod 1"/>
    <w:basedOn w:val="Normln"/>
    <w:next w:val="Nadpis2"/>
    <w:link w:val="Nadpis1Char"/>
    <w:qFormat/>
    <w:rsid w:val="005D73F3"/>
    <w:pPr>
      <w:numPr>
        <w:numId w:val="1"/>
      </w:numPr>
      <w:spacing w:before="60" w:after="60" w:line="240" w:lineRule="auto"/>
      <w:outlineLvl w:val="0"/>
    </w:pPr>
    <w:rPr>
      <w:rFonts w:ascii="Times New Roman" w:eastAsia="Times New Roman" w:hAnsi="Times New Roman" w:cs="Times New Roman"/>
      <w:b/>
      <w:snapToGrid w:val="0"/>
      <w:kern w:val="28"/>
      <w:sz w:val="28"/>
      <w:szCs w:val="20"/>
      <w:lang w:eastAsia="cs-CZ"/>
    </w:rPr>
  </w:style>
  <w:style w:type="paragraph" w:styleId="Nadpis2">
    <w:name w:val="heading 2"/>
    <w:basedOn w:val="Normln"/>
    <w:link w:val="Nadpis2Char"/>
    <w:qFormat/>
    <w:rsid w:val="005D73F3"/>
    <w:pPr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6"/>
      <w:szCs w:val="20"/>
      <w:lang w:eastAsia="cs-CZ"/>
    </w:rPr>
  </w:style>
  <w:style w:type="paragraph" w:styleId="Nadpis3">
    <w:name w:val="heading 3"/>
    <w:basedOn w:val="Normln"/>
    <w:link w:val="Nadpis3Char"/>
    <w:qFormat/>
    <w:rsid w:val="005D73F3"/>
    <w:pPr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napToGrid w:val="0"/>
      <w:sz w:val="26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5D73F3"/>
    <w:pPr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napToGrid w:val="0"/>
      <w:sz w:val="26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D73F3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snapToGrid w:val="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D73F3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i/>
      <w:snapToGrid w:val="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D73F3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b/>
      <w:snapToGrid w:val="0"/>
      <w:sz w:val="26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5D73F3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b/>
      <w:i/>
      <w:snapToGrid w:val="0"/>
      <w:sz w:val="26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5D73F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napToGrid w:val="0"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01A"/>
  </w:style>
  <w:style w:type="paragraph" w:styleId="Zpat">
    <w:name w:val="footer"/>
    <w:basedOn w:val="Normln"/>
    <w:link w:val="ZpatChar"/>
    <w:uiPriority w:val="99"/>
    <w:unhideWhenUsed/>
    <w:rsid w:val="00D02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01A"/>
  </w:style>
  <w:style w:type="character" w:styleId="slostrnky">
    <w:name w:val="page number"/>
    <w:basedOn w:val="Standardnpsmoodstavce"/>
    <w:semiHidden/>
    <w:rsid w:val="00D0201A"/>
  </w:style>
  <w:style w:type="table" w:styleId="Mkatabulky">
    <w:name w:val="Table Grid"/>
    <w:basedOn w:val="Normlntabulka"/>
    <w:uiPriority w:val="59"/>
    <w:rsid w:val="00D02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D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A40"/>
    <w:rPr>
      <w:rFonts w:ascii="Tahoma" w:hAnsi="Tahoma" w:cs="Tahoma"/>
      <w:sz w:val="16"/>
      <w:szCs w:val="16"/>
    </w:rPr>
  </w:style>
  <w:style w:type="character" w:customStyle="1" w:styleId="notranslate">
    <w:name w:val="notranslate"/>
    <w:basedOn w:val="Standardnpsmoodstavce"/>
    <w:rsid w:val="00F66F8D"/>
  </w:style>
  <w:style w:type="paragraph" w:customStyle="1" w:styleId="NormalTab">
    <w:name w:val="NormalTab"/>
    <w:basedOn w:val="Normln"/>
    <w:rsid w:val="00F134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j-italic">
    <w:name w:val="oj-italic"/>
    <w:basedOn w:val="Standardnpsmoodstavce"/>
    <w:rsid w:val="00A52E96"/>
  </w:style>
  <w:style w:type="paragraph" w:customStyle="1" w:styleId="TableParagraph">
    <w:name w:val="Table Paragraph"/>
    <w:basedOn w:val="Normln"/>
    <w:uiPriority w:val="1"/>
    <w:qFormat/>
    <w:rsid w:val="00A82C68"/>
    <w:pPr>
      <w:widowControl w:val="0"/>
      <w:autoSpaceDE w:val="0"/>
      <w:autoSpaceDN w:val="0"/>
      <w:spacing w:after="0" w:line="240" w:lineRule="auto"/>
      <w:ind w:left="69"/>
    </w:pPr>
    <w:rPr>
      <w:rFonts w:ascii="Arial Narrow" w:eastAsia="Arial Narrow" w:hAnsi="Arial Narrow" w:cs="Arial Narrow"/>
    </w:rPr>
  </w:style>
  <w:style w:type="paragraph" w:customStyle="1" w:styleId="CM4">
    <w:name w:val="CM4"/>
    <w:basedOn w:val="Normln"/>
    <w:next w:val="Normln"/>
    <w:rsid w:val="00287E49"/>
    <w:pPr>
      <w:autoSpaceDE w:val="0"/>
      <w:autoSpaceDN w:val="0"/>
      <w:adjustRightInd w:val="0"/>
      <w:spacing w:before="60" w:after="60" w:line="240" w:lineRule="auto"/>
    </w:pPr>
    <w:rPr>
      <w:rFonts w:ascii="EUAlbertina" w:eastAsia="Times New Roman" w:hAnsi="EUAlbertina" w:cs="EUAlbertina"/>
      <w:sz w:val="20"/>
      <w:szCs w:val="20"/>
      <w:lang w:eastAsia="cs-CZ"/>
    </w:rPr>
  </w:style>
  <w:style w:type="character" w:customStyle="1" w:styleId="tlid-translation">
    <w:name w:val="tlid-translation"/>
    <w:basedOn w:val="Standardnpsmoodstavce"/>
    <w:rsid w:val="004A6BB9"/>
  </w:style>
  <w:style w:type="character" w:customStyle="1" w:styleId="viiyi">
    <w:name w:val="viiyi"/>
    <w:basedOn w:val="Standardnpsmoodstavce"/>
    <w:rsid w:val="004A6BB9"/>
  </w:style>
  <w:style w:type="character" w:customStyle="1" w:styleId="jlqj4b">
    <w:name w:val="jlqj4b"/>
    <w:basedOn w:val="Standardnpsmoodstavce"/>
    <w:rsid w:val="004A6BB9"/>
  </w:style>
  <w:style w:type="character" w:customStyle="1" w:styleId="q4iawc">
    <w:name w:val="q4iawc"/>
    <w:basedOn w:val="Standardnpsmoodstavce"/>
    <w:rsid w:val="008D43BC"/>
  </w:style>
  <w:style w:type="character" w:customStyle="1" w:styleId="Nadpis1Char">
    <w:name w:val="Nadpis 1 Char"/>
    <w:aliases w:val="Bod 1 Char"/>
    <w:basedOn w:val="Standardnpsmoodstavce"/>
    <w:link w:val="Nadpis1"/>
    <w:rsid w:val="005D73F3"/>
    <w:rPr>
      <w:rFonts w:ascii="Times New Roman" w:eastAsia="Times New Roman" w:hAnsi="Times New Roman" w:cs="Times New Roman"/>
      <w:b/>
      <w:snapToGrid w:val="0"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D73F3"/>
    <w:rPr>
      <w:rFonts w:ascii="Times New Roman" w:eastAsia="Times New Roman" w:hAnsi="Times New Roman" w:cs="Times New Roman"/>
      <w:b/>
      <w:snapToGrid w:val="0"/>
      <w:sz w:val="2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D73F3"/>
    <w:rPr>
      <w:rFonts w:ascii="Times New Roman" w:eastAsia="Times New Roman" w:hAnsi="Times New Roman" w:cs="Times New Roman"/>
      <w:snapToGrid w:val="0"/>
      <w:sz w:val="26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D73F3"/>
    <w:rPr>
      <w:rFonts w:ascii="Times New Roman" w:eastAsia="Times New Roman" w:hAnsi="Times New Roman" w:cs="Times New Roman"/>
      <w:snapToGrid w:val="0"/>
      <w:sz w:val="26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5D73F3"/>
    <w:rPr>
      <w:rFonts w:ascii="Times New Roman" w:eastAsia="Times New Roman" w:hAnsi="Times New Roman" w:cs="Times New Roman"/>
      <w:b/>
      <w:snapToGrid w:val="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D73F3"/>
    <w:rPr>
      <w:rFonts w:ascii="Times New Roman" w:eastAsia="Times New Roman" w:hAnsi="Times New Roman" w:cs="Times New Roman"/>
      <w:b/>
      <w:i/>
      <w:snapToGrid w:val="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5D73F3"/>
    <w:rPr>
      <w:rFonts w:ascii="Arial" w:eastAsia="Times New Roman" w:hAnsi="Arial" w:cs="Times New Roman"/>
      <w:b/>
      <w:snapToGrid w:val="0"/>
      <w:sz w:val="26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5D73F3"/>
    <w:rPr>
      <w:rFonts w:ascii="Arial" w:eastAsia="Times New Roman" w:hAnsi="Arial" w:cs="Times New Roman"/>
      <w:b/>
      <w:i/>
      <w:snapToGrid w:val="0"/>
      <w:sz w:val="26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5D73F3"/>
    <w:rPr>
      <w:rFonts w:ascii="Arial" w:eastAsia="Times New Roman" w:hAnsi="Arial" w:cs="Times New Roman"/>
      <w:i/>
      <w:snapToGrid w:val="0"/>
      <w:sz w:val="18"/>
      <w:szCs w:val="20"/>
      <w:lang w:eastAsia="cs-CZ"/>
    </w:rPr>
  </w:style>
  <w:style w:type="paragraph" w:customStyle="1" w:styleId="CM1">
    <w:name w:val="CM1"/>
    <w:basedOn w:val="Normln"/>
    <w:next w:val="Normln"/>
    <w:uiPriority w:val="99"/>
    <w:rsid w:val="005004C2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eastAsia="cs-CZ"/>
    </w:rPr>
  </w:style>
  <w:style w:type="paragraph" w:customStyle="1" w:styleId="Default">
    <w:name w:val="Default"/>
    <w:rsid w:val="00C10E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4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3703</Words>
  <Characters>21852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infobl.cz</dc:creator>
  <cp:lastModifiedBy>Microsoft Office User</cp:lastModifiedBy>
  <cp:revision>2</cp:revision>
  <dcterms:created xsi:type="dcterms:W3CDTF">2023-08-07T14:17:00Z</dcterms:created>
  <dcterms:modified xsi:type="dcterms:W3CDTF">2023-08-07T14:17:00Z</dcterms:modified>
</cp:coreProperties>
</file>